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B2961" w14:textId="66125263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#96</w:t>
      </w:r>
      <w:r w:rsidR="00782D42">
        <w:rPr>
          <w:rFonts w:ascii="Arial" w:eastAsia="Batang" w:hAnsi="Arial" w:cs="Arial"/>
          <w:b/>
          <w:bCs/>
          <w:szCs w:val="22"/>
        </w:rPr>
        <w:t>bis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347AF8" w:rsidRPr="00347AF8">
        <w:rPr>
          <w:rFonts w:ascii="Arial" w:eastAsia="Batang" w:hAnsi="Arial" w:cs="Arial"/>
          <w:b/>
          <w:bCs/>
          <w:szCs w:val="22"/>
        </w:rPr>
        <w:t>R1-1904230</w:t>
      </w:r>
    </w:p>
    <w:p w14:paraId="3B0F6453" w14:textId="7DDB04AB" w:rsidR="00855F39" w:rsidRPr="00074926" w:rsidRDefault="00782D42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>
        <w:rPr>
          <w:rFonts w:ascii="Arial" w:eastAsia="MS Mincho" w:hAnsi="Arial" w:cs="Arial"/>
          <w:b/>
          <w:bCs/>
          <w:szCs w:val="22"/>
          <w:lang w:eastAsia="ja-JP"/>
        </w:rPr>
        <w:t>Xi’an, China, 8th – 12th April</w:t>
      </w:r>
      <w:r w:rsidR="004D5BF4" w:rsidRPr="004D5BF4">
        <w:rPr>
          <w:rFonts w:ascii="Arial" w:eastAsia="MS Mincho" w:hAnsi="Arial" w:cs="Arial"/>
          <w:b/>
          <w:bCs/>
          <w:szCs w:val="22"/>
          <w:lang w:eastAsia="ja-JP"/>
        </w:rPr>
        <w:t>, 2</w:t>
      </w:r>
      <w:r w:rsidR="00855F39" w:rsidRPr="00AB354D">
        <w:rPr>
          <w:rFonts w:ascii="Arial" w:eastAsia="MS Mincho" w:hAnsi="Arial" w:cs="Arial"/>
          <w:b/>
          <w:bCs/>
          <w:szCs w:val="22"/>
          <w:lang w:eastAsia="ja-JP"/>
        </w:rPr>
        <w:t>019</w:t>
      </w:r>
      <w:r w:rsidR="00855F39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77777777" w:rsidR="00855F39" w:rsidRPr="00074926" w:rsidRDefault="005C70A9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  <w:t>6.2</w:t>
      </w:r>
      <w:r w:rsidR="00855F39" w:rsidRPr="00074926">
        <w:rPr>
          <w:b/>
          <w:lang w:val="en-US"/>
        </w:rPr>
        <w:t>.</w:t>
      </w:r>
      <w:r>
        <w:rPr>
          <w:b/>
          <w:lang w:val="en-US"/>
        </w:rPr>
        <w:t>1.2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77777777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5C70A9" w:rsidRPr="005C70A9">
        <w:rPr>
          <w:b/>
          <w:color w:val="000000"/>
          <w:lang w:val="en-US"/>
        </w:rPr>
        <w:t>Considerations in using PUR</w:t>
      </w:r>
    </w:p>
    <w:p w14:paraId="73A0E73F" w14:textId="7777777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3184EB35" w14:textId="63363D26" w:rsidR="004D5BF4" w:rsidRDefault="004D5BF4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RAN1</w:t>
      </w:r>
      <w:r w:rsidR="005C70A9">
        <w:rPr>
          <w:rFonts w:eastAsia="MS Mincho"/>
          <w:lang w:val="en-US"/>
        </w:rPr>
        <w:t>#9</w:t>
      </w:r>
      <w:r w:rsidR="0073373C">
        <w:rPr>
          <w:rFonts w:eastAsia="MS Mincho"/>
          <w:lang w:val="en-US"/>
        </w:rPr>
        <w:t>6</w:t>
      </w:r>
      <w:r>
        <w:rPr>
          <w:rFonts w:eastAsia="MS Mincho"/>
          <w:lang w:val="en-US"/>
        </w:rPr>
        <w:t xml:space="preserve">, we </w:t>
      </w:r>
      <w:r w:rsidR="005C70A9">
        <w:rPr>
          <w:rFonts w:eastAsia="MS Mincho"/>
          <w:lang w:val="en-US"/>
        </w:rPr>
        <w:t>agreed the following</w:t>
      </w:r>
      <w:r w:rsidR="005C19D9">
        <w:rPr>
          <w:rFonts w:eastAsia="MS Mincho"/>
          <w:lang w:val="en-US"/>
        </w:rPr>
        <w:t xml:space="preserve"> on dedicated PUR</w:t>
      </w:r>
      <w:r>
        <w:rPr>
          <w:rFonts w:eastAsia="MS Mincho"/>
          <w:lang w:val="en-US"/>
        </w:rPr>
        <w:t>:</w:t>
      </w:r>
    </w:p>
    <w:p w14:paraId="2C5A9499" w14:textId="77777777" w:rsidR="0073373C" w:rsidRPr="00310ED0" w:rsidRDefault="0073373C" w:rsidP="00310ED0">
      <w:pPr>
        <w:ind w:left="720"/>
        <w:rPr>
          <w:b/>
          <w:i/>
          <w:highlight w:val="green"/>
          <w:lang w:eastAsia="x-none"/>
        </w:rPr>
      </w:pPr>
      <w:r w:rsidRPr="00310ED0">
        <w:rPr>
          <w:b/>
          <w:i/>
          <w:highlight w:val="green"/>
          <w:lang w:eastAsia="x-none"/>
        </w:rPr>
        <w:t xml:space="preserve">Agreement </w:t>
      </w:r>
    </w:p>
    <w:p w14:paraId="2A0385BA" w14:textId="77777777" w:rsidR="0073373C" w:rsidRPr="00310ED0" w:rsidRDefault="0073373C" w:rsidP="00310ED0">
      <w:pPr>
        <w:ind w:left="720"/>
        <w:rPr>
          <w:i/>
          <w:lang w:val="en-US" w:eastAsia="x-none"/>
        </w:rPr>
      </w:pPr>
      <w:r w:rsidRPr="00310ED0">
        <w:rPr>
          <w:i/>
          <w:lang w:val="en-US" w:eastAsia="x-none"/>
        </w:rPr>
        <w:t>In idle mode, the TA validation configuration can include “PUR Time Alignment Timer”</w:t>
      </w:r>
    </w:p>
    <w:p w14:paraId="642E09BC" w14:textId="77777777" w:rsidR="0073373C" w:rsidRPr="00310ED0" w:rsidRDefault="0073373C" w:rsidP="00310ED0">
      <w:pPr>
        <w:numPr>
          <w:ilvl w:val="0"/>
          <w:numId w:val="30"/>
        </w:numPr>
        <w:spacing w:after="0"/>
        <w:ind w:left="1440"/>
        <w:rPr>
          <w:i/>
          <w:lang w:val="en-US" w:eastAsia="x-none"/>
        </w:rPr>
      </w:pPr>
      <w:r w:rsidRPr="00310ED0">
        <w:rPr>
          <w:i/>
          <w:lang w:val="en-US" w:eastAsia="x-none"/>
        </w:rPr>
        <w:t>Where the UE considers the TA as invalid if the (current time – time at last TA update) &gt; the PUR Time Alignment Timer</w:t>
      </w:r>
    </w:p>
    <w:p w14:paraId="553850FB" w14:textId="77777777" w:rsidR="0073373C" w:rsidRPr="00310ED0" w:rsidRDefault="0073373C" w:rsidP="00310ED0">
      <w:pPr>
        <w:numPr>
          <w:ilvl w:val="0"/>
          <w:numId w:val="30"/>
        </w:numPr>
        <w:spacing w:after="0"/>
        <w:ind w:left="1440"/>
        <w:rPr>
          <w:i/>
          <w:lang w:val="en-US" w:eastAsia="x-none"/>
        </w:rPr>
      </w:pPr>
      <w:r w:rsidRPr="00310ED0">
        <w:rPr>
          <w:i/>
          <w:lang w:val="en-US" w:eastAsia="x-none"/>
        </w:rPr>
        <w:t xml:space="preserve">Details on how to specify the “PUR Time Alignment Timer” is up to RAN2  </w:t>
      </w:r>
    </w:p>
    <w:p w14:paraId="6C87854C" w14:textId="77777777" w:rsidR="0073373C" w:rsidRPr="00310ED0" w:rsidRDefault="0073373C" w:rsidP="00310ED0">
      <w:pPr>
        <w:ind w:left="720"/>
        <w:rPr>
          <w:b/>
          <w:i/>
          <w:highlight w:val="yellow"/>
          <w:lang w:eastAsia="x-none"/>
        </w:rPr>
      </w:pPr>
    </w:p>
    <w:p w14:paraId="2611A5D4" w14:textId="77777777" w:rsidR="0073373C" w:rsidRPr="00310ED0" w:rsidRDefault="0073373C" w:rsidP="00310ED0">
      <w:pPr>
        <w:ind w:left="720"/>
        <w:rPr>
          <w:b/>
          <w:i/>
          <w:highlight w:val="green"/>
          <w:lang w:eastAsia="x-none"/>
        </w:rPr>
      </w:pPr>
      <w:r w:rsidRPr="00310ED0">
        <w:rPr>
          <w:b/>
          <w:i/>
          <w:highlight w:val="green"/>
          <w:lang w:eastAsia="x-none"/>
        </w:rPr>
        <w:t>Agreement</w:t>
      </w:r>
    </w:p>
    <w:p w14:paraId="0E137B2E" w14:textId="77777777" w:rsidR="0073373C" w:rsidRPr="00310ED0" w:rsidRDefault="0073373C" w:rsidP="00310ED0">
      <w:pPr>
        <w:ind w:left="720"/>
        <w:rPr>
          <w:i/>
          <w:lang w:eastAsia="x-none"/>
        </w:rPr>
      </w:pPr>
      <w:r w:rsidRPr="00310ED0">
        <w:rPr>
          <w:i/>
          <w:lang w:eastAsia="x-none"/>
        </w:rPr>
        <w:t>In idle mode, when the UE validates TA, the UE considers the TA for the previous serving cell as invalid if the serving cell changes</w:t>
      </w:r>
    </w:p>
    <w:p w14:paraId="1C6939ED" w14:textId="77777777" w:rsidR="0073373C" w:rsidRPr="00310ED0" w:rsidRDefault="0073373C" w:rsidP="00310ED0">
      <w:pPr>
        <w:numPr>
          <w:ilvl w:val="0"/>
          <w:numId w:val="30"/>
        </w:numPr>
        <w:spacing w:after="0"/>
        <w:ind w:left="1440"/>
        <w:rPr>
          <w:i/>
          <w:lang w:eastAsia="x-none"/>
        </w:rPr>
      </w:pPr>
      <w:r w:rsidRPr="00310ED0">
        <w:rPr>
          <w:i/>
          <w:lang w:eastAsia="x-none"/>
        </w:rPr>
        <w:t>Above applies for the case where the UE is configured to use the serving cell change attribute</w:t>
      </w:r>
    </w:p>
    <w:p w14:paraId="0BE00501" w14:textId="77777777" w:rsidR="0073373C" w:rsidRPr="00310ED0" w:rsidRDefault="0073373C" w:rsidP="00310ED0">
      <w:pPr>
        <w:ind w:left="720"/>
        <w:rPr>
          <w:b/>
          <w:i/>
          <w:highlight w:val="yellow"/>
          <w:lang w:eastAsia="x-none"/>
        </w:rPr>
      </w:pPr>
    </w:p>
    <w:p w14:paraId="2C2CAAEA" w14:textId="77777777" w:rsidR="0073373C" w:rsidRPr="00310ED0" w:rsidRDefault="0073373C" w:rsidP="00310ED0">
      <w:pPr>
        <w:ind w:left="720"/>
        <w:rPr>
          <w:b/>
          <w:i/>
          <w:highlight w:val="green"/>
          <w:lang w:eastAsia="x-none"/>
        </w:rPr>
      </w:pPr>
      <w:r w:rsidRPr="00310ED0">
        <w:rPr>
          <w:b/>
          <w:i/>
          <w:highlight w:val="green"/>
          <w:lang w:eastAsia="x-none"/>
        </w:rPr>
        <w:t>Agreement</w:t>
      </w:r>
    </w:p>
    <w:p w14:paraId="48A5ABA6" w14:textId="77777777" w:rsidR="0073373C" w:rsidRPr="00310ED0" w:rsidRDefault="0073373C" w:rsidP="00310ED0">
      <w:pPr>
        <w:ind w:left="720"/>
        <w:rPr>
          <w:i/>
          <w:lang w:eastAsia="x-none"/>
        </w:rPr>
      </w:pPr>
      <w:r w:rsidRPr="00310ED0">
        <w:rPr>
          <w:i/>
          <w:lang w:eastAsia="x-none"/>
        </w:rPr>
        <w:t xml:space="preserve">For dedicated PUR in idle mode, the Dedicated PUR ACK is at least sent on MPDCCH </w:t>
      </w:r>
    </w:p>
    <w:p w14:paraId="16B6D493" w14:textId="77777777" w:rsidR="0073373C" w:rsidRPr="00310ED0" w:rsidRDefault="0073373C" w:rsidP="00310ED0">
      <w:pPr>
        <w:numPr>
          <w:ilvl w:val="0"/>
          <w:numId w:val="30"/>
        </w:numPr>
        <w:spacing w:after="0"/>
        <w:ind w:left="1440"/>
        <w:rPr>
          <w:rFonts w:eastAsia="MS Gothic"/>
          <w:i/>
          <w:kern w:val="2"/>
          <w:lang w:val="en-US" w:eastAsia="ja-JP"/>
        </w:rPr>
      </w:pPr>
      <w:r w:rsidRPr="00310ED0">
        <w:rPr>
          <w:rFonts w:eastAsia="MS Gothic"/>
          <w:i/>
          <w:kern w:val="2"/>
          <w:lang w:val="en-US" w:eastAsia="ja-JP"/>
        </w:rPr>
        <w:t>RAN2 can decide if a higher layer PUR ACK is also supported</w:t>
      </w:r>
    </w:p>
    <w:p w14:paraId="7F05DA00" w14:textId="77777777" w:rsidR="0073373C" w:rsidRPr="00310ED0" w:rsidRDefault="0073373C" w:rsidP="00310ED0">
      <w:pPr>
        <w:ind w:left="720"/>
        <w:rPr>
          <w:i/>
          <w:lang w:eastAsia="x-none"/>
        </w:rPr>
      </w:pPr>
    </w:p>
    <w:p w14:paraId="1E892099" w14:textId="77777777" w:rsidR="0073373C" w:rsidRPr="00310ED0" w:rsidRDefault="0073373C" w:rsidP="00310ED0">
      <w:pPr>
        <w:ind w:left="720"/>
        <w:rPr>
          <w:b/>
          <w:i/>
          <w:highlight w:val="green"/>
          <w:lang w:eastAsia="x-none"/>
        </w:rPr>
      </w:pPr>
      <w:r w:rsidRPr="00310ED0">
        <w:rPr>
          <w:b/>
          <w:i/>
          <w:highlight w:val="green"/>
          <w:lang w:eastAsia="x-none"/>
        </w:rPr>
        <w:t>Agreement</w:t>
      </w:r>
    </w:p>
    <w:p w14:paraId="0DB444F5" w14:textId="77777777" w:rsidR="0073373C" w:rsidRPr="00310ED0" w:rsidRDefault="0073373C" w:rsidP="00310ED0">
      <w:pPr>
        <w:ind w:left="720"/>
        <w:rPr>
          <w:i/>
          <w:lang w:eastAsia="x-none"/>
        </w:rPr>
      </w:pPr>
      <w:r w:rsidRPr="00310ED0">
        <w:rPr>
          <w:i/>
          <w:lang w:eastAsia="x-none"/>
        </w:rPr>
        <w:t>For dedicated PUR in idle mode, the PUR search space configuration shall be included in the PUR configuration.</w:t>
      </w:r>
    </w:p>
    <w:p w14:paraId="57C62765" w14:textId="77777777" w:rsidR="0073373C" w:rsidRPr="00310ED0" w:rsidRDefault="0073373C" w:rsidP="00310ED0">
      <w:pPr>
        <w:numPr>
          <w:ilvl w:val="0"/>
          <w:numId w:val="30"/>
        </w:numPr>
        <w:spacing w:after="0"/>
        <w:ind w:left="1440"/>
        <w:rPr>
          <w:i/>
          <w:lang w:eastAsia="x-none"/>
        </w:rPr>
      </w:pPr>
      <w:r w:rsidRPr="00310ED0">
        <w:rPr>
          <w:i/>
          <w:lang w:eastAsia="x-none"/>
        </w:rPr>
        <w:t>PUR search space is the search space where UE monitors for MPDCCH</w:t>
      </w:r>
    </w:p>
    <w:p w14:paraId="67E236F7" w14:textId="77777777" w:rsidR="0073373C" w:rsidRPr="00310ED0" w:rsidRDefault="0073373C" w:rsidP="00310ED0">
      <w:pPr>
        <w:numPr>
          <w:ilvl w:val="0"/>
          <w:numId w:val="30"/>
        </w:numPr>
        <w:spacing w:after="0"/>
        <w:ind w:left="1440"/>
        <w:rPr>
          <w:i/>
          <w:lang w:eastAsia="x-none"/>
        </w:rPr>
      </w:pPr>
      <w:r w:rsidRPr="00310ED0">
        <w:rPr>
          <w:i/>
          <w:lang w:eastAsia="x-none"/>
        </w:rPr>
        <w:t>FFS: Whether PUR search space is common or UE specific</w:t>
      </w:r>
    </w:p>
    <w:p w14:paraId="7DBC770C" w14:textId="77777777" w:rsidR="005C19D9" w:rsidRPr="00310ED0" w:rsidRDefault="005C19D9" w:rsidP="00310ED0">
      <w:pPr>
        <w:ind w:left="720"/>
        <w:rPr>
          <w:rFonts w:eastAsia="MS Mincho"/>
          <w:i/>
          <w:lang w:val="en-US"/>
        </w:rPr>
      </w:pPr>
    </w:p>
    <w:p w14:paraId="2D83879B" w14:textId="77777777" w:rsidR="00310ED0" w:rsidRPr="00310ED0" w:rsidRDefault="00310ED0" w:rsidP="00310ED0">
      <w:pPr>
        <w:ind w:left="720"/>
        <w:rPr>
          <w:b/>
          <w:i/>
          <w:highlight w:val="green"/>
          <w:lang w:eastAsia="x-none"/>
        </w:rPr>
      </w:pPr>
      <w:r w:rsidRPr="00310ED0">
        <w:rPr>
          <w:b/>
          <w:i/>
          <w:highlight w:val="green"/>
          <w:lang w:eastAsia="x-none"/>
        </w:rPr>
        <w:t xml:space="preserve">Agreement </w:t>
      </w:r>
    </w:p>
    <w:p w14:paraId="29F619FB" w14:textId="77777777" w:rsidR="00310ED0" w:rsidRPr="00310ED0" w:rsidRDefault="00310ED0" w:rsidP="00310ED0">
      <w:pPr>
        <w:ind w:left="720"/>
        <w:rPr>
          <w:i/>
        </w:rPr>
      </w:pPr>
      <w:r w:rsidRPr="00310ED0">
        <w:rPr>
          <w:i/>
        </w:rPr>
        <w:t xml:space="preserve">When the TA is validated and found to be invalid and the UE has data to send, the UE can obtain a valid TA and may send data via legacy RACH or EDT procedures </w:t>
      </w:r>
    </w:p>
    <w:p w14:paraId="614F6F66" w14:textId="77777777" w:rsidR="00310ED0" w:rsidRPr="00310ED0" w:rsidRDefault="00310ED0" w:rsidP="00310ED0">
      <w:pPr>
        <w:pStyle w:val="ListParagraph"/>
        <w:numPr>
          <w:ilvl w:val="0"/>
          <w:numId w:val="31"/>
        </w:numPr>
        <w:spacing w:after="0"/>
        <w:ind w:left="1440" w:hanging="360"/>
        <w:contextualSpacing w:val="0"/>
        <w:rPr>
          <w:i/>
        </w:rPr>
      </w:pPr>
      <w:r w:rsidRPr="00310ED0">
        <w:rPr>
          <w:i/>
        </w:rPr>
        <w:t>FFS whether only TA is acquired and then data sent on PUR is supported</w:t>
      </w:r>
    </w:p>
    <w:p w14:paraId="3F718541" w14:textId="77777777" w:rsidR="00310ED0" w:rsidRPr="00310ED0" w:rsidRDefault="00310ED0" w:rsidP="00310ED0">
      <w:pPr>
        <w:pStyle w:val="ListParagraph"/>
        <w:numPr>
          <w:ilvl w:val="0"/>
          <w:numId w:val="31"/>
        </w:numPr>
        <w:spacing w:after="0"/>
        <w:ind w:left="1440" w:hanging="360"/>
        <w:contextualSpacing w:val="0"/>
        <w:rPr>
          <w:i/>
        </w:rPr>
      </w:pPr>
      <w:r w:rsidRPr="00310ED0">
        <w:rPr>
          <w:i/>
        </w:rPr>
        <w:t>FFS other approaches to obtain a valid TA</w:t>
      </w:r>
    </w:p>
    <w:p w14:paraId="0111E95B" w14:textId="77777777" w:rsidR="00310ED0" w:rsidRPr="00310ED0" w:rsidRDefault="00310ED0" w:rsidP="00310ED0">
      <w:pPr>
        <w:ind w:left="720"/>
        <w:rPr>
          <w:i/>
          <w:lang w:eastAsia="x-none"/>
        </w:rPr>
      </w:pPr>
    </w:p>
    <w:p w14:paraId="2731FA43" w14:textId="77777777" w:rsidR="00310ED0" w:rsidRPr="00310ED0" w:rsidRDefault="00310ED0" w:rsidP="00310ED0">
      <w:pPr>
        <w:ind w:left="720"/>
        <w:rPr>
          <w:b/>
          <w:i/>
          <w:highlight w:val="green"/>
          <w:lang w:eastAsia="x-none"/>
        </w:rPr>
      </w:pPr>
      <w:r w:rsidRPr="00310ED0">
        <w:rPr>
          <w:b/>
          <w:i/>
          <w:highlight w:val="green"/>
          <w:lang w:eastAsia="x-none"/>
        </w:rPr>
        <w:t>Agreement</w:t>
      </w:r>
    </w:p>
    <w:p w14:paraId="435AAAA4" w14:textId="77777777" w:rsidR="00310ED0" w:rsidRPr="00310ED0" w:rsidRDefault="00310ED0" w:rsidP="00310ED0">
      <w:pPr>
        <w:ind w:left="720"/>
        <w:rPr>
          <w:i/>
          <w:lang w:eastAsia="en-GB"/>
        </w:rPr>
      </w:pPr>
      <w:r w:rsidRPr="00310ED0">
        <w:rPr>
          <w:i/>
        </w:rPr>
        <w:t>When the UE is configured to use several TA validation criteria, the TA is valid only when all the configured TA validation criteria are satisfied.</w:t>
      </w:r>
    </w:p>
    <w:p w14:paraId="2E3D15F1" w14:textId="77777777" w:rsidR="00310ED0" w:rsidRPr="00310ED0" w:rsidRDefault="00310ED0" w:rsidP="00310ED0">
      <w:pPr>
        <w:ind w:left="720"/>
        <w:rPr>
          <w:i/>
          <w:lang w:eastAsia="x-none"/>
        </w:rPr>
      </w:pPr>
    </w:p>
    <w:p w14:paraId="787F898D" w14:textId="77777777" w:rsidR="00310ED0" w:rsidRPr="00310ED0" w:rsidRDefault="00310ED0" w:rsidP="00310ED0">
      <w:pPr>
        <w:ind w:left="720"/>
        <w:rPr>
          <w:b/>
          <w:i/>
          <w:highlight w:val="green"/>
          <w:lang w:eastAsia="x-none"/>
        </w:rPr>
      </w:pPr>
      <w:r w:rsidRPr="00310ED0">
        <w:rPr>
          <w:b/>
          <w:i/>
          <w:highlight w:val="green"/>
          <w:lang w:eastAsia="x-none"/>
        </w:rPr>
        <w:t>Agreement</w:t>
      </w:r>
    </w:p>
    <w:p w14:paraId="4FCCDF9B" w14:textId="77777777" w:rsidR="00310ED0" w:rsidRPr="00310ED0" w:rsidRDefault="00310ED0" w:rsidP="00310ED0">
      <w:pPr>
        <w:ind w:left="720"/>
        <w:rPr>
          <w:rFonts w:eastAsia="MS Mincho"/>
          <w:i/>
        </w:rPr>
      </w:pPr>
      <w:r w:rsidRPr="00310ED0">
        <w:rPr>
          <w:rFonts w:eastAsia="MS Mincho"/>
          <w:i/>
        </w:rPr>
        <w:lastRenderedPageBreak/>
        <w:t xml:space="preserve">For dedicated PUR, in idle mode, the PUR resource configuration includes at least the following </w:t>
      </w:r>
    </w:p>
    <w:p w14:paraId="01AB210B" w14:textId="77777777" w:rsidR="00310ED0" w:rsidRPr="00310ED0" w:rsidRDefault="00310ED0" w:rsidP="00310ED0">
      <w:pPr>
        <w:pStyle w:val="ListParagraph"/>
        <w:numPr>
          <w:ilvl w:val="0"/>
          <w:numId w:val="31"/>
        </w:numPr>
        <w:spacing w:after="0"/>
        <w:ind w:left="1440" w:hanging="360"/>
        <w:contextualSpacing w:val="0"/>
        <w:rPr>
          <w:i/>
        </w:rPr>
      </w:pPr>
      <w:r w:rsidRPr="00310ED0">
        <w:rPr>
          <w:i/>
        </w:rPr>
        <w:t xml:space="preserve">Time domain resources including periodicity(s) </w:t>
      </w:r>
    </w:p>
    <w:p w14:paraId="1D1F4D68" w14:textId="77777777" w:rsidR="00310ED0" w:rsidRPr="00310ED0" w:rsidRDefault="00310ED0" w:rsidP="00310ED0">
      <w:pPr>
        <w:pStyle w:val="ListParagraph"/>
        <w:numPr>
          <w:ilvl w:val="1"/>
          <w:numId w:val="31"/>
        </w:numPr>
        <w:spacing w:after="0"/>
        <w:ind w:left="1985"/>
        <w:contextualSpacing w:val="0"/>
        <w:rPr>
          <w:i/>
        </w:rPr>
      </w:pPr>
      <w:r w:rsidRPr="00310ED0">
        <w:rPr>
          <w:i/>
        </w:rPr>
        <w:t>Note: also includes number of repetitions, number of RUs, starting position</w:t>
      </w:r>
    </w:p>
    <w:p w14:paraId="54E96147" w14:textId="77777777" w:rsidR="00310ED0" w:rsidRPr="00310ED0" w:rsidRDefault="00310ED0" w:rsidP="00310ED0">
      <w:pPr>
        <w:pStyle w:val="ListParagraph"/>
        <w:numPr>
          <w:ilvl w:val="0"/>
          <w:numId w:val="31"/>
        </w:numPr>
        <w:spacing w:after="0"/>
        <w:ind w:left="1440" w:hanging="360"/>
        <w:contextualSpacing w:val="0"/>
        <w:rPr>
          <w:i/>
        </w:rPr>
      </w:pPr>
      <w:r w:rsidRPr="00310ED0">
        <w:rPr>
          <w:i/>
        </w:rPr>
        <w:t>Frequency domain resources</w:t>
      </w:r>
    </w:p>
    <w:p w14:paraId="1845D11D" w14:textId="77777777" w:rsidR="00310ED0" w:rsidRPr="00310ED0" w:rsidRDefault="00310ED0" w:rsidP="00310ED0">
      <w:pPr>
        <w:pStyle w:val="ListParagraph"/>
        <w:numPr>
          <w:ilvl w:val="0"/>
          <w:numId w:val="31"/>
        </w:numPr>
        <w:spacing w:after="0"/>
        <w:ind w:left="1440" w:hanging="360"/>
        <w:contextualSpacing w:val="0"/>
        <w:rPr>
          <w:i/>
        </w:rPr>
      </w:pPr>
      <w:r w:rsidRPr="00310ED0">
        <w:rPr>
          <w:i/>
        </w:rPr>
        <w:t>TBS(s)/MCS(s)</w:t>
      </w:r>
    </w:p>
    <w:p w14:paraId="497403BA" w14:textId="77777777" w:rsidR="00310ED0" w:rsidRPr="00310ED0" w:rsidRDefault="00310ED0" w:rsidP="00310ED0">
      <w:pPr>
        <w:pStyle w:val="ListParagraph"/>
        <w:numPr>
          <w:ilvl w:val="0"/>
          <w:numId w:val="31"/>
        </w:numPr>
        <w:spacing w:after="0"/>
        <w:ind w:left="1440" w:hanging="360"/>
        <w:contextualSpacing w:val="0"/>
        <w:rPr>
          <w:i/>
        </w:rPr>
      </w:pPr>
      <w:r w:rsidRPr="00310ED0">
        <w:rPr>
          <w:i/>
        </w:rPr>
        <w:t>Power control parameters</w:t>
      </w:r>
    </w:p>
    <w:p w14:paraId="02BFC746" w14:textId="77777777" w:rsidR="00310ED0" w:rsidRPr="00310ED0" w:rsidRDefault="00310ED0" w:rsidP="00310ED0">
      <w:pPr>
        <w:pStyle w:val="ListParagraph"/>
        <w:numPr>
          <w:ilvl w:val="0"/>
          <w:numId w:val="31"/>
        </w:numPr>
        <w:spacing w:after="0"/>
        <w:ind w:left="1440" w:hanging="360"/>
        <w:contextualSpacing w:val="0"/>
        <w:rPr>
          <w:i/>
        </w:rPr>
      </w:pPr>
      <w:r w:rsidRPr="00310ED0">
        <w:rPr>
          <w:i/>
        </w:rPr>
        <w:t>Legacy DMRS pattern</w:t>
      </w:r>
    </w:p>
    <w:p w14:paraId="124C6D99" w14:textId="77777777" w:rsidR="00310ED0" w:rsidRPr="00310ED0" w:rsidRDefault="00310ED0" w:rsidP="00310ED0">
      <w:pPr>
        <w:ind w:left="720"/>
        <w:rPr>
          <w:i/>
          <w:lang w:eastAsia="x-none"/>
        </w:rPr>
      </w:pPr>
    </w:p>
    <w:p w14:paraId="19153DA9" w14:textId="77777777" w:rsidR="00310ED0" w:rsidRPr="00310ED0" w:rsidRDefault="00310ED0" w:rsidP="00310ED0">
      <w:pPr>
        <w:ind w:left="720"/>
        <w:rPr>
          <w:b/>
          <w:i/>
          <w:highlight w:val="green"/>
          <w:lang w:eastAsia="x-none"/>
        </w:rPr>
      </w:pPr>
      <w:r w:rsidRPr="00310ED0">
        <w:rPr>
          <w:b/>
          <w:i/>
          <w:highlight w:val="green"/>
          <w:lang w:eastAsia="x-none"/>
        </w:rPr>
        <w:t>Agreement</w:t>
      </w:r>
    </w:p>
    <w:p w14:paraId="5EEB33EA" w14:textId="77777777" w:rsidR="00310ED0" w:rsidRPr="00310ED0" w:rsidRDefault="00310ED0" w:rsidP="00310ED0">
      <w:pPr>
        <w:ind w:left="720"/>
        <w:rPr>
          <w:i/>
        </w:rPr>
      </w:pPr>
      <w:r w:rsidRPr="00310ED0">
        <w:rPr>
          <w:i/>
        </w:rPr>
        <w:t>In idle mode, at least the following PUR configurations and PUR parameters may be updated after a PUR transmission:</w:t>
      </w:r>
    </w:p>
    <w:p w14:paraId="003388B4" w14:textId="77777777" w:rsidR="00310ED0" w:rsidRPr="00310ED0" w:rsidRDefault="00310ED0" w:rsidP="00310ED0">
      <w:pPr>
        <w:pStyle w:val="ListParagraph"/>
        <w:numPr>
          <w:ilvl w:val="0"/>
          <w:numId w:val="31"/>
        </w:numPr>
        <w:spacing w:after="0"/>
        <w:ind w:left="1440" w:hanging="360"/>
        <w:contextualSpacing w:val="0"/>
        <w:rPr>
          <w:i/>
        </w:rPr>
      </w:pPr>
      <w:r w:rsidRPr="00310ED0">
        <w:rPr>
          <w:i/>
        </w:rPr>
        <w:t xml:space="preserve">Timing advance adjustment </w:t>
      </w:r>
    </w:p>
    <w:p w14:paraId="54101C0F" w14:textId="77777777" w:rsidR="00310ED0" w:rsidRPr="00310ED0" w:rsidRDefault="00310ED0" w:rsidP="00310ED0">
      <w:pPr>
        <w:pStyle w:val="ListParagraph"/>
        <w:numPr>
          <w:ilvl w:val="0"/>
          <w:numId w:val="31"/>
        </w:numPr>
        <w:spacing w:after="0"/>
        <w:ind w:left="1440" w:hanging="360"/>
        <w:contextualSpacing w:val="0"/>
        <w:rPr>
          <w:i/>
        </w:rPr>
      </w:pPr>
      <w:r w:rsidRPr="00310ED0">
        <w:rPr>
          <w:i/>
        </w:rPr>
        <w:t>UE TX power adjustment</w:t>
      </w:r>
    </w:p>
    <w:p w14:paraId="09114DE9" w14:textId="77777777" w:rsidR="00310ED0" w:rsidRPr="00310ED0" w:rsidRDefault="00310ED0" w:rsidP="00310ED0">
      <w:pPr>
        <w:pStyle w:val="ListParagraph"/>
        <w:numPr>
          <w:ilvl w:val="0"/>
          <w:numId w:val="31"/>
        </w:numPr>
        <w:spacing w:after="0"/>
        <w:ind w:left="1440" w:hanging="360"/>
        <w:contextualSpacing w:val="0"/>
        <w:rPr>
          <w:i/>
        </w:rPr>
      </w:pPr>
      <w:r w:rsidRPr="00310ED0">
        <w:rPr>
          <w:i/>
        </w:rPr>
        <w:t>FFS: Repetition adjustment for PUSCH</w:t>
      </w:r>
    </w:p>
    <w:p w14:paraId="77E69911" w14:textId="77777777" w:rsidR="00310ED0" w:rsidRPr="00310ED0" w:rsidRDefault="00310ED0" w:rsidP="00310ED0">
      <w:pPr>
        <w:ind w:left="720"/>
        <w:rPr>
          <w:i/>
          <w:lang w:eastAsia="x-none"/>
        </w:rPr>
      </w:pPr>
      <w:r w:rsidRPr="00310ED0">
        <w:rPr>
          <w:i/>
          <w:lang w:eastAsia="x-none"/>
        </w:rPr>
        <w:t>FFS: Whether the above update is done in L1 and/or higher layer</w:t>
      </w:r>
    </w:p>
    <w:p w14:paraId="648B0E92" w14:textId="77777777" w:rsidR="00310ED0" w:rsidRPr="00310ED0" w:rsidRDefault="00310ED0" w:rsidP="00310ED0">
      <w:pPr>
        <w:ind w:left="720"/>
        <w:rPr>
          <w:i/>
          <w:lang w:eastAsia="x-none"/>
        </w:rPr>
      </w:pPr>
    </w:p>
    <w:p w14:paraId="2C0B8C7B" w14:textId="77777777" w:rsidR="00310ED0" w:rsidRPr="00310ED0" w:rsidRDefault="00310ED0" w:rsidP="00310ED0">
      <w:pPr>
        <w:ind w:left="720"/>
        <w:rPr>
          <w:b/>
          <w:i/>
          <w:highlight w:val="green"/>
          <w:lang w:eastAsia="x-none"/>
        </w:rPr>
      </w:pPr>
      <w:r w:rsidRPr="00310ED0">
        <w:rPr>
          <w:b/>
          <w:i/>
          <w:highlight w:val="green"/>
          <w:lang w:eastAsia="x-none"/>
        </w:rPr>
        <w:t>Agreement</w:t>
      </w:r>
    </w:p>
    <w:p w14:paraId="52190799" w14:textId="77777777" w:rsidR="00310ED0" w:rsidRPr="00310ED0" w:rsidRDefault="00310ED0" w:rsidP="00310ED0">
      <w:pPr>
        <w:ind w:left="720"/>
        <w:rPr>
          <w:rFonts w:eastAsia="MS Mincho"/>
          <w:i/>
        </w:rPr>
      </w:pPr>
      <w:r w:rsidRPr="00310ED0">
        <w:rPr>
          <w:rFonts w:eastAsia="MS Mincho"/>
          <w:i/>
        </w:rPr>
        <w:t xml:space="preserve">In idle mode, the PUR search space configuration includes at least the following: </w:t>
      </w:r>
    </w:p>
    <w:p w14:paraId="25456C46" w14:textId="77777777" w:rsidR="00310ED0" w:rsidRPr="00310ED0" w:rsidRDefault="00310ED0" w:rsidP="00310ED0">
      <w:pPr>
        <w:pStyle w:val="ListParagraph"/>
        <w:numPr>
          <w:ilvl w:val="0"/>
          <w:numId w:val="31"/>
        </w:numPr>
        <w:spacing w:after="0"/>
        <w:ind w:left="1440" w:hanging="360"/>
        <w:contextualSpacing w:val="0"/>
        <w:rPr>
          <w:i/>
        </w:rPr>
      </w:pPr>
      <w:r w:rsidRPr="00310ED0">
        <w:rPr>
          <w:i/>
        </w:rPr>
        <w:t xml:space="preserve">MPDCCH narrowband location </w:t>
      </w:r>
    </w:p>
    <w:p w14:paraId="73577E49" w14:textId="77777777" w:rsidR="00310ED0" w:rsidRPr="00310ED0" w:rsidRDefault="00310ED0" w:rsidP="00310ED0">
      <w:pPr>
        <w:pStyle w:val="ListParagraph"/>
        <w:numPr>
          <w:ilvl w:val="0"/>
          <w:numId w:val="31"/>
        </w:numPr>
        <w:spacing w:after="0"/>
        <w:ind w:left="1440" w:hanging="360"/>
        <w:contextualSpacing w:val="0"/>
        <w:rPr>
          <w:i/>
        </w:rPr>
      </w:pPr>
      <w:r w:rsidRPr="00310ED0">
        <w:rPr>
          <w:i/>
        </w:rPr>
        <w:t xml:space="preserve">MPDCCH repetitions and aggregation levels </w:t>
      </w:r>
    </w:p>
    <w:p w14:paraId="7E94B3F2" w14:textId="77777777" w:rsidR="00310ED0" w:rsidRPr="00310ED0" w:rsidRDefault="00310ED0" w:rsidP="00310ED0">
      <w:pPr>
        <w:pStyle w:val="ListParagraph"/>
        <w:numPr>
          <w:ilvl w:val="0"/>
          <w:numId w:val="31"/>
        </w:numPr>
        <w:spacing w:after="0"/>
        <w:ind w:left="1440" w:hanging="360"/>
        <w:contextualSpacing w:val="0"/>
        <w:rPr>
          <w:i/>
        </w:rPr>
      </w:pPr>
      <w:r w:rsidRPr="00310ED0">
        <w:rPr>
          <w:i/>
        </w:rPr>
        <w:t>MPDCCH starting subframe periodicity (variable G)</w:t>
      </w:r>
    </w:p>
    <w:p w14:paraId="29C84DD1" w14:textId="77777777" w:rsidR="00310ED0" w:rsidRPr="00310ED0" w:rsidRDefault="00310ED0" w:rsidP="00310ED0">
      <w:pPr>
        <w:pStyle w:val="ListParagraph"/>
        <w:numPr>
          <w:ilvl w:val="0"/>
          <w:numId w:val="31"/>
        </w:numPr>
        <w:spacing w:after="0"/>
        <w:ind w:left="1440" w:hanging="360"/>
        <w:contextualSpacing w:val="0"/>
        <w:rPr>
          <w:i/>
        </w:rPr>
      </w:pPr>
      <w:r w:rsidRPr="00310ED0">
        <w:rPr>
          <w:i/>
        </w:rPr>
        <w:t>Starting subframe position (alpha_offset)</w:t>
      </w:r>
    </w:p>
    <w:p w14:paraId="045E0AFE" w14:textId="77777777" w:rsidR="00310ED0" w:rsidRPr="00310ED0" w:rsidRDefault="00310ED0" w:rsidP="00310ED0">
      <w:pPr>
        <w:ind w:left="720"/>
        <w:rPr>
          <w:i/>
          <w:lang w:eastAsia="x-none"/>
        </w:rPr>
      </w:pPr>
    </w:p>
    <w:p w14:paraId="743E3770" w14:textId="77777777" w:rsidR="00310ED0" w:rsidRPr="00310ED0" w:rsidRDefault="00310ED0" w:rsidP="00310ED0">
      <w:pPr>
        <w:ind w:left="720"/>
        <w:rPr>
          <w:b/>
          <w:i/>
          <w:highlight w:val="green"/>
        </w:rPr>
      </w:pPr>
      <w:r w:rsidRPr="00310ED0">
        <w:rPr>
          <w:b/>
          <w:i/>
          <w:highlight w:val="green"/>
        </w:rPr>
        <w:t>Agreement</w:t>
      </w:r>
    </w:p>
    <w:p w14:paraId="11E1A8FE" w14:textId="77777777" w:rsidR="00310ED0" w:rsidRPr="00310ED0" w:rsidRDefault="00310ED0" w:rsidP="00310ED0">
      <w:pPr>
        <w:ind w:left="720"/>
        <w:rPr>
          <w:i/>
        </w:rPr>
      </w:pPr>
      <w:r w:rsidRPr="00310ED0">
        <w:rPr>
          <w:i/>
        </w:rPr>
        <w:t xml:space="preserve">For dedicated PUR in idle mode, the PUR resource configuration includes at least the following </w:t>
      </w:r>
    </w:p>
    <w:p w14:paraId="191CE1EE" w14:textId="77777777" w:rsidR="00310ED0" w:rsidRPr="00310ED0" w:rsidRDefault="00310ED0" w:rsidP="00310ED0">
      <w:pPr>
        <w:pStyle w:val="ListParagraph"/>
        <w:numPr>
          <w:ilvl w:val="0"/>
          <w:numId w:val="31"/>
        </w:numPr>
        <w:spacing w:after="0"/>
        <w:ind w:left="1440" w:hanging="360"/>
        <w:contextualSpacing w:val="0"/>
        <w:rPr>
          <w:i/>
        </w:rPr>
      </w:pPr>
      <w:r w:rsidRPr="00310ED0">
        <w:rPr>
          <w:i/>
        </w:rPr>
        <w:t>A PUSCH frequency hopping indication to enable or disable legacy frequency hopping</w:t>
      </w:r>
    </w:p>
    <w:p w14:paraId="04143025" w14:textId="77777777" w:rsidR="00310ED0" w:rsidRPr="00310ED0" w:rsidRDefault="00310ED0" w:rsidP="00310ED0">
      <w:pPr>
        <w:ind w:left="720"/>
        <w:rPr>
          <w:i/>
          <w:lang w:eastAsia="x-none"/>
        </w:rPr>
      </w:pPr>
    </w:p>
    <w:p w14:paraId="1267F25F" w14:textId="77777777" w:rsidR="00310ED0" w:rsidRPr="00310ED0" w:rsidRDefault="00310ED0" w:rsidP="00310ED0">
      <w:pPr>
        <w:ind w:left="720"/>
        <w:rPr>
          <w:b/>
          <w:i/>
          <w:highlight w:val="green"/>
        </w:rPr>
      </w:pPr>
      <w:r w:rsidRPr="00310ED0">
        <w:rPr>
          <w:b/>
          <w:i/>
          <w:highlight w:val="green"/>
        </w:rPr>
        <w:t>Agreement</w:t>
      </w:r>
    </w:p>
    <w:p w14:paraId="38C9EBAC" w14:textId="77777777" w:rsidR="00310ED0" w:rsidRPr="00310ED0" w:rsidRDefault="00310ED0" w:rsidP="00310ED0">
      <w:pPr>
        <w:ind w:left="720"/>
        <w:rPr>
          <w:i/>
        </w:rPr>
      </w:pPr>
      <w:r w:rsidRPr="00310ED0">
        <w:rPr>
          <w:i/>
        </w:rPr>
        <w:t>In idle mode, a UE can be configured such that TA is always valid within a given cell.</w:t>
      </w:r>
    </w:p>
    <w:p w14:paraId="3562F210" w14:textId="77777777" w:rsidR="00310ED0" w:rsidRPr="00310ED0" w:rsidRDefault="00310ED0" w:rsidP="00310ED0">
      <w:pPr>
        <w:pStyle w:val="ListParagraph"/>
        <w:numPr>
          <w:ilvl w:val="0"/>
          <w:numId w:val="31"/>
        </w:numPr>
        <w:spacing w:after="0"/>
        <w:ind w:left="1440" w:hanging="360"/>
        <w:contextualSpacing w:val="0"/>
        <w:rPr>
          <w:i/>
        </w:rPr>
      </w:pPr>
      <w:r w:rsidRPr="00310ED0">
        <w:rPr>
          <w:i/>
        </w:rPr>
        <w:t>FFS: up to RAN2 how to implement e.g. PUR Time Alignment Timer = infinity</w:t>
      </w:r>
    </w:p>
    <w:p w14:paraId="2FED1BB7" w14:textId="77777777" w:rsidR="00310ED0" w:rsidRPr="00310ED0" w:rsidRDefault="00310ED0" w:rsidP="00310ED0">
      <w:pPr>
        <w:ind w:left="720"/>
        <w:rPr>
          <w:i/>
          <w:lang w:val="en-US" w:eastAsia="x-none"/>
        </w:rPr>
      </w:pPr>
    </w:p>
    <w:p w14:paraId="422FF475" w14:textId="77777777" w:rsidR="00855F39" w:rsidRDefault="004D5BF4" w:rsidP="00855F39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This contribution </w:t>
      </w:r>
      <w:r w:rsidR="00F912B3">
        <w:rPr>
          <w:rFonts w:eastAsia="MS Mincho"/>
          <w:lang w:val="en-US"/>
        </w:rPr>
        <w:t xml:space="preserve">discusses some </w:t>
      </w:r>
      <w:r w:rsidR="005C19D9">
        <w:rPr>
          <w:rFonts w:eastAsia="MS Mincho"/>
          <w:lang w:val="en-US"/>
        </w:rPr>
        <w:t xml:space="preserve">remaining </w:t>
      </w:r>
      <w:r w:rsidR="00F912B3">
        <w:rPr>
          <w:rFonts w:eastAsia="MS Mincho"/>
          <w:lang w:val="en-US"/>
        </w:rPr>
        <w:t>considerations on</w:t>
      </w:r>
      <w:r w:rsidR="005C19D9">
        <w:rPr>
          <w:rFonts w:eastAsia="MS Mincho"/>
          <w:lang w:val="en-US"/>
        </w:rPr>
        <w:t xml:space="preserve"> dedicated PUR</w:t>
      </w:r>
      <w:r w:rsidR="00AF500B">
        <w:rPr>
          <w:rFonts w:eastAsia="MS Mincho"/>
          <w:lang w:val="en-US"/>
        </w:rPr>
        <w:t>.</w:t>
      </w:r>
      <w:r w:rsidR="00855F39">
        <w:rPr>
          <w:rFonts w:eastAsia="MS Mincho"/>
          <w:lang w:val="en-US"/>
        </w:rPr>
        <w:t xml:space="preserve">  </w:t>
      </w:r>
    </w:p>
    <w:p w14:paraId="44C1F1F6" w14:textId="77777777" w:rsidR="00855F39" w:rsidRDefault="00855F39" w:rsidP="00855F39">
      <w:pPr>
        <w:rPr>
          <w:rFonts w:eastAsia="MS Mincho"/>
          <w:lang w:val="en-US"/>
        </w:rPr>
      </w:pPr>
    </w:p>
    <w:p w14:paraId="5F6C52D1" w14:textId="77777777" w:rsidR="00F912B3" w:rsidRDefault="00855F39" w:rsidP="00F912B3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S Mincho"/>
          <w:lang w:val="en-US"/>
        </w:rPr>
      </w:pPr>
      <w:r>
        <w:t>Discussions</w:t>
      </w:r>
    </w:p>
    <w:p w14:paraId="59B1FDB5" w14:textId="65CACBBD" w:rsidR="005C19D9" w:rsidRDefault="005C19D9" w:rsidP="005C19D9">
      <w:pPr>
        <w:pStyle w:val="Heading2"/>
        <w:numPr>
          <w:ilvl w:val="1"/>
          <w:numId w:val="8"/>
        </w:numPr>
        <w:rPr>
          <w:lang w:val="en-US"/>
        </w:rPr>
      </w:pPr>
      <w:r>
        <w:rPr>
          <w:lang w:val="en-US"/>
        </w:rPr>
        <w:t>TA Validation</w:t>
      </w:r>
      <w:r w:rsidR="002B6A9E">
        <w:rPr>
          <w:lang w:val="en-US"/>
        </w:rPr>
        <w:t xml:space="preserve"> – RSRP Change</w:t>
      </w:r>
    </w:p>
    <w:p w14:paraId="78E0A3A9" w14:textId="77777777" w:rsidR="001929D2" w:rsidRDefault="005C19D9" w:rsidP="00C246F3">
      <w:pPr>
        <w:rPr>
          <w:lang w:val="en-US"/>
        </w:rPr>
      </w:pPr>
      <w:r>
        <w:rPr>
          <w:lang w:val="en-US"/>
        </w:rPr>
        <w:t>One of the methods for TA validation is based on serving cell RSRP changes</w:t>
      </w:r>
      <w:r w:rsidR="002B6A9E">
        <w:rPr>
          <w:lang w:val="en-US"/>
        </w:rPr>
        <w:t xml:space="preserve">, </w:t>
      </w:r>
      <w:r w:rsidR="002B6A9E" w:rsidRPr="008F1F96">
        <w:rPr>
          <w:i/>
          <w:lang w:val="en-US"/>
        </w:rPr>
        <w:sym w:font="Symbol" w:char="F044"/>
      </w:r>
      <w:r w:rsidR="002B6A9E" w:rsidRPr="008F1F96">
        <w:rPr>
          <w:i/>
          <w:lang w:val="en-US"/>
        </w:rPr>
        <w:t>RSRP</w:t>
      </w:r>
      <w:r w:rsidR="001929D2">
        <w:rPr>
          <w:lang w:val="en-US"/>
        </w:rPr>
        <w:t>, where:</w:t>
      </w:r>
    </w:p>
    <w:p w14:paraId="06919BE7" w14:textId="6536C552" w:rsidR="001929D2" w:rsidRPr="001929D2" w:rsidRDefault="001929D2" w:rsidP="001929D2">
      <w:pPr>
        <w:jc w:val="center"/>
        <w:rPr>
          <w:lang w:val="en-US"/>
        </w:rPr>
      </w:pPr>
      <w:r w:rsidRPr="008F1F96">
        <w:rPr>
          <w:i/>
          <w:lang w:val="en-US"/>
        </w:rPr>
        <w:sym w:font="Symbol" w:char="F044"/>
      </w:r>
      <w:r w:rsidRPr="008F1F96">
        <w:rPr>
          <w:i/>
          <w:lang w:val="en-US"/>
        </w:rPr>
        <w:t>RSRP</w:t>
      </w:r>
      <w:r>
        <w:rPr>
          <w:lang w:val="en-US"/>
        </w:rPr>
        <w:t xml:space="preserve"> = RSRP when TA is obtained – RSRP when TA is evaluated</w:t>
      </w:r>
    </w:p>
    <w:p w14:paraId="251E615C" w14:textId="16091B31" w:rsidR="002B6A9E" w:rsidRDefault="001929D2" w:rsidP="00C246F3">
      <w:pPr>
        <w:rPr>
          <w:lang w:val="en-US"/>
        </w:rPr>
      </w:pPr>
      <w:r>
        <w:rPr>
          <w:lang w:val="en-US"/>
        </w:rPr>
        <w:t>Here, t</w:t>
      </w:r>
      <w:r w:rsidR="008F1F96">
        <w:rPr>
          <w:lang w:val="en-US"/>
        </w:rPr>
        <w:t xml:space="preserve">he TA is considered valid if </w:t>
      </w:r>
      <w:r w:rsidR="008F1F96" w:rsidRPr="008F1F96">
        <w:rPr>
          <w:i/>
          <w:lang w:val="en-US"/>
        </w:rPr>
        <w:sym w:font="Symbol" w:char="F044"/>
      </w:r>
      <w:r w:rsidR="008F1F96" w:rsidRPr="008F1F96">
        <w:rPr>
          <w:i/>
          <w:lang w:val="en-US"/>
        </w:rPr>
        <w:t>RSRP</w:t>
      </w:r>
      <w:r w:rsidR="008F1F96">
        <w:rPr>
          <w:lang w:val="en-US"/>
        </w:rPr>
        <w:t xml:space="preserve"> &gt; </w:t>
      </w:r>
      <w:r w:rsidR="008F1F96" w:rsidRPr="008F1F96">
        <w:rPr>
          <w:i/>
          <w:lang w:val="en-US"/>
        </w:rPr>
        <w:t>T</w:t>
      </w:r>
      <w:r w:rsidR="008F1F96" w:rsidRPr="008F1F96">
        <w:rPr>
          <w:i/>
          <w:vertAlign w:val="subscript"/>
          <w:lang w:val="en-US"/>
        </w:rPr>
        <w:t>RSRP</w:t>
      </w:r>
      <w:r w:rsidR="008F1F96">
        <w:rPr>
          <w:lang w:val="en-US"/>
        </w:rPr>
        <w:t xml:space="preserve">, where </w:t>
      </w:r>
      <w:r w:rsidR="008F1F96" w:rsidRPr="008F1F96">
        <w:rPr>
          <w:i/>
          <w:lang w:val="en-US"/>
        </w:rPr>
        <w:t>T</w:t>
      </w:r>
      <w:r w:rsidR="008F1F96" w:rsidRPr="008F1F96">
        <w:rPr>
          <w:i/>
          <w:vertAlign w:val="subscript"/>
          <w:lang w:val="en-US"/>
        </w:rPr>
        <w:t>RSRP</w:t>
      </w:r>
      <w:r w:rsidR="008F1F96">
        <w:rPr>
          <w:lang w:val="en-US"/>
        </w:rPr>
        <w:t xml:space="preserve"> is a threshold.</w:t>
      </w:r>
      <w:r w:rsidR="005C19D9">
        <w:rPr>
          <w:lang w:val="en-US"/>
        </w:rPr>
        <w:t xml:space="preserve">  </w:t>
      </w:r>
      <w:r w:rsidR="008F1F96">
        <w:rPr>
          <w:lang w:val="en-US"/>
        </w:rPr>
        <w:t xml:space="preserve">The relationship between RSRP and distance is not linear but an inverse power, i.e. </w:t>
      </w:r>
      <m:oMath>
        <m:r>
          <w:rPr>
            <w:rFonts w:ascii="Cambria Math" w:hAnsi="Cambria Math"/>
            <w:lang w:val="en-US"/>
          </w:rPr>
          <m:t>RSRP∝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d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x</m:t>
                </m:r>
              </m:sup>
            </m:sSup>
          </m:den>
        </m:f>
      </m:oMath>
      <w:r w:rsidR="008F1F96">
        <w:rPr>
          <w:lang w:val="en-US"/>
        </w:rPr>
        <w:t xml:space="preserve">, where </w:t>
      </w:r>
      <w:r w:rsidR="008F1F96" w:rsidRPr="00C246F3">
        <w:rPr>
          <w:i/>
          <w:lang w:val="en-US"/>
        </w:rPr>
        <w:t>d</w:t>
      </w:r>
      <w:r w:rsidR="008F1F96">
        <w:rPr>
          <w:lang w:val="en-US"/>
        </w:rPr>
        <w:t xml:space="preserve"> is the distance between the UE and the eNB.  Since TA is dependent upon the distance </w:t>
      </w:r>
      <w:r w:rsidR="008F1F96" w:rsidRPr="008F1F96">
        <w:rPr>
          <w:i/>
          <w:lang w:val="en-US"/>
        </w:rPr>
        <w:t>d</w:t>
      </w:r>
      <w:r w:rsidR="008F1F96">
        <w:rPr>
          <w:lang w:val="en-US"/>
        </w:rPr>
        <w:t xml:space="preserve">, it is recognised in [1] and [2] that the threshold </w:t>
      </w:r>
      <w:r w:rsidR="008F1F96" w:rsidRPr="009F2819">
        <w:rPr>
          <w:i/>
          <w:lang w:val="en-US"/>
        </w:rPr>
        <w:t>T</w:t>
      </w:r>
      <w:r w:rsidR="008F1F96" w:rsidRPr="009F2819">
        <w:rPr>
          <w:i/>
          <w:vertAlign w:val="subscript"/>
          <w:lang w:val="en-US"/>
        </w:rPr>
        <w:t>RSRP</w:t>
      </w:r>
      <w:r w:rsidR="008F1F96">
        <w:rPr>
          <w:lang w:val="en-US"/>
        </w:rPr>
        <w:t xml:space="preserve"> i</w:t>
      </w:r>
      <w:r w:rsidR="00613B20">
        <w:rPr>
          <w:lang w:val="en-US"/>
        </w:rPr>
        <w:t>s not constant i.e.:</w:t>
      </w:r>
    </w:p>
    <w:p w14:paraId="1AC31787" w14:textId="35A9AF64" w:rsidR="00E6545D" w:rsidRDefault="00613B20" w:rsidP="00613B20">
      <w:pPr>
        <w:pStyle w:val="ListParagraph"/>
        <w:numPr>
          <w:ilvl w:val="0"/>
          <w:numId w:val="32"/>
        </w:numPr>
        <w:rPr>
          <w:lang w:val="en-US"/>
        </w:rPr>
      </w:pPr>
      <w:r w:rsidRPr="00613B20">
        <w:rPr>
          <w:i/>
          <w:lang w:val="en-US"/>
        </w:rPr>
        <w:lastRenderedPageBreak/>
        <w:t>T</w:t>
      </w:r>
      <w:r w:rsidRPr="00613B20">
        <w:rPr>
          <w:i/>
          <w:vertAlign w:val="subscript"/>
          <w:lang w:val="en-US"/>
        </w:rPr>
        <w:t>RSRP</w:t>
      </w:r>
      <w:r>
        <w:rPr>
          <w:lang w:val="en-US"/>
        </w:rPr>
        <w:t xml:space="preserve"> </w:t>
      </w:r>
      <w:r w:rsidR="00863E4E">
        <w:rPr>
          <w:lang w:val="en-US"/>
        </w:rPr>
        <w:t xml:space="preserve">is </w:t>
      </w:r>
      <w:r>
        <w:rPr>
          <w:lang w:val="en-US"/>
        </w:rPr>
        <w:t>dependent u</w:t>
      </w:r>
      <w:r w:rsidR="00E6545D">
        <w:rPr>
          <w:lang w:val="en-US"/>
        </w:rPr>
        <w:t>pon the absolute RSRP of the UE.</w:t>
      </w:r>
    </w:p>
    <w:p w14:paraId="2D204A2F" w14:textId="77777777" w:rsidR="00E6545D" w:rsidRDefault="00613B20" w:rsidP="00E6545D">
      <w:pPr>
        <w:pStyle w:val="ListParagraph"/>
        <w:numPr>
          <w:ilvl w:val="1"/>
          <w:numId w:val="32"/>
        </w:numPr>
        <w:rPr>
          <w:lang w:val="en-US"/>
        </w:rPr>
      </w:pPr>
      <w:r>
        <w:rPr>
          <w:lang w:val="en-US"/>
        </w:rPr>
        <w:t xml:space="preserve">The closer the UE is to the eNB, the larger </w:t>
      </w:r>
      <w:r w:rsidRPr="00613B20">
        <w:rPr>
          <w:i/>
          <w:lang w:val="en-US"/>
        </w:rPr>
        <w:t>T</w:t>
      </w:r>
      <w:r w:rsidRPr="00613B20">
        <w:rPr>
          <w:i/>
          <w:vertAlign w:val="subscript"/>
          <w:lang w:val="en-US"/>
        </w:rPr>
        <w:t>RSRP</w:t>
      </w:r>
      <w:r>
        <w:rPr>
          <w:lang w:val="en-US"/>
        </w:rPr>
        <w:t xml:space="preserve"> needs to be </w:t>
      </w:r>
    </w:p>
    <w:p w14:paraId="2CC5C3FB" w14:textId="626B1D3F" w:rsidR="00613B20" w:rsidRDefault="00E6545D" w:rsidP="00E6545D">
      <w:pPr>
        <w:pStyle w:val="ListParagraph"/>
        <w:numPr>
          <w:ilvl w:val="1"/>
          <w:numId w:val="32"/>
        </w:numPr>
        <w:rPr>
          <w:lang w:val="en-US"/>
        </w:rPr>
      </w:pPr>
      <w:r>
        <w:rPr>
          <w:lang w:val="en-US"/>
        </w:rPr>
        <w:t>T</w:t>
      </w:r>
      <w:r w:rsidR="00613B20">
        <w:rPr>
          <w:lang w:val="en-US"/>
        </w:rPr>
        <w:t xml:space="preserve">he further away the UE is from the eNB, the smaller </w:t>
      </w:r>
      <w:r w:rsidR="00613B20" w:rsidRPr="00613B20">
        <w:rPr>
          <w:i/>
          <w:lang w:val="en-US"/>
        </w:rPr>
        <w:t>T</w:t>
      </w:r>
      <w:r w:rsidR="00613B20" w:rsidRPr="00613B20">
        <w:rPr>
          <w:i/>
          <w:vertAlign w:val="subscript"/>
          <w:lang w:val="en-US"/>
        </w:rPr>
        <w:t>RSRP</w:t>
      </w:r>
      <w:r w:rsidR="00613B20">
        <w:rPr>
          <w:lang w:val="en-US"/>
        </w:rPr>
        <w:t xml:space="preserve"> needs to be</w:t>
      </w:r>
    </w:p>
    <w:p w14:paraId="716DD8D1" w14:textId="5B350709" w:rsidR="00E6545D" w:rsidRDefault="00613B20" w:rsidP="00613B20">
      <w:pPr>
        <w:pStyle w:val="ListParagraph"/>
        <w:numPr>
          <w:ilvl w:val="0"/>
          <w:numId w:val="32"/>
        </w:numPr>
        <w:rPr>
          <w:lang w:val="en-US"/>
        </w:rPr>
      </w:pPr>
      <w:r>
        <w:rPr>
          <w:i/>
          <w:lang w:val="en-US"/>
        </w:rPr>
        <w:t>T</w:t>
      </w:r>
      <w:r w:rsidRPr="00613B20">
        <w:rPr>
          <w:i/>
          <w:vertAlign w:val="subscript"/>
          <w:lang w:val="en-US"/>
        </w:rPr>
        <w:t>RSRP</w:t>
      </w:r>
      <w:r>
        <w:rPr>
          <w:i/>
          <w:lang w:val="en-US"/>
        </w:rPr>
        <w:t xml:space="preserve"> </w:t>
      </w:r>
      <w:r w:rsidRPr="00613B20">
        <w:rPr>
          <w:lang w:val="en-US"/>
        </w:rPr>
        <w:t>is dependent</w:t>
      </w:r>
      <w:r>
        <w:rPr>
          <w:lang w:val="en-US"/>
        </w:rPr>
        <w:t xml:space="preserve"> upon the direction of travel.  </w:t>
      </w:r>
      <w:r w:rsidR="00E6545D">
        <w:rPr>
          <w:lang w:val="en-US"/>
        </w:rPr>
        <w:t xml:space="preserve">For a UE </w:t>
      </w:r>
      <w:r w:rsidR="00863E4E">
        <w:rPr>
          <w:lang w:val="en-US"/>
        </w:rPr>
        <w:t xml:space="preserve">at </w:t>
      </w:r>
      <w:r w:rsidR="00E6545D">
        <w:rPr>
          <w:lang w:val="en-US"/>
        </w:rPr>
        <w:t>the same distance from the eNB:</w:t>
      </w:r>
    </w:p>
    <w:p w14:paraId="1D356EB2" w14:textId="77777777" w:rsidR="00E6545D" w:rsidRDefault="00E6545D" w:rsidP="00E6545D">
      <w:pPr>
        <w:pStyle w:val="ListParagraph"/>
        <w:numPr>
          <w:ilvl w:val="1"/>
          <w:numId w:val="32"/>
        </w:numPr>
        <w:rPr>
          <w:lang w:val="en-US"/>
        </w:rPr>
      </w:pPr>
      <w:r>
        <w:rPr>
          <w:lang w:val="en-US"/>
        </w:rPr>
        <w:t xml:space="preserve">If the UE moving towards the eNB, </w:t>
      </w:r>
      <w:r w:rsidRPr="00E6545D">
        <w:rPr>
          <w:i/>
          <w:lang w:val="en-US"/>
        </w:rPr>
        <w:t>T</w:t>
      </w:r>
      <w:r w:rsidRPr="00E6545D">
        <w:rPr>
          <w:i/>
          <w:vertAlign w:val="subscript"/>
          <w:lang w:val="en-US"/>
        </w:rPr>
        <w:t>RSRP</w:t>
      </w:r>
      <w:r>
        <w:rPr>
          <w:lang w:val="en-US"/>
        </w:rPr>
        <w:t xml:space="preserve"> needs to be larger</w:t>
      </w:r>
    </w:p>
    <w:p w14:paraId="526AAEEB" w14:textId="70FAECBC" w:rsidR="00613B20" w:rsidRPr="00613B20" w:rsidRDefault="00E6545D" w:rsidP="00E6545D">
      <w:pPr>
        <w:pStyle w:val="ListParagraph"/>
        <w:numPr>
          <w:ilvl w:val="1"/>
          <w:numId w:val="32"/>
        </w:numPr>
        <w:rPr>
          <w:lang w:val="en-US"/>
        </w:rPr>
      </w:pPr>
      <w:r>
        <w:rPr>
          <w:lang w:val="en-US"/>
        </w:rPr>
        <w:t xml:space="preserve">If the UE moves away from the eNB, </w:t>
      </w:r>
      <w:r w:rsidRPr="00E6545D">
        <w:rPr>
          <w:i/>
          <w:lang w:val="en-US"/>
        </w:rPr>
        <w:t>T</w:t>
      </w:r>
      <w:r w:rsidRPr="00E6545D">
        <w:rPr>
          <w:i/>
          <w:vertAlign w:val="subscript"/>
          <w:lang w:val="en-US"/>
        </w:rPr>
        <w:t>RSRP</w:t>
      </w:r>
      <w:r>
        <w:rPr>
          <w:lang w:val="en-US"/>
        </w:rPr>
        <w:t xml:space="preserve"> needs to be smaller  </w:t>
      </w:r>
    </w:p>
    <w:p w14:paraId="47EEB4A6" w14:textId="77777777" w:rsidR="00E6545D" w:rsidRDefault="00E6545D" w:rsidP="00C246F3">
      <w:pPr>
        <w:rPr>
          <w:lang w:val="en-US"/>
        </w:rPr>
      </w:pPr>
    </w:p>
    <w:p w14:paraId="58A9C4CE" w14:textId="3C55F041" w:rsidR="002B6A9E" w:rsidRPr="00E6545D" w:rsidRDefault="00E6545D" w:rsidP="00C246F3">
      <w:pPr>
        <w:rPr>
          <w:b/>
          <w:lang w:val="en-US"/>
        </w:rPr>
      </w:pPr>
      <w:r w:rsidRPr="00E6545D">
        <w:rPr>
          <w:b/>
          <w:lang w:val="en-US"/>
        </w:rPr>
        <w:t xml:space="preserve">Observation 1: For validating TA by comparing the serving cell RSRP changes </w:t>
      </w:r>
      <w:r w:rsidRPr="00E6545D">
        <w:rPr>
          <w:b/>
          <w:i/>
          <w:lang w:val="en-US"/>
        </w:rPr>
        <w:sym w:font="Symbol" w:char="F044"/>
      </w:r>
      <w:r w:rsidRPr="00E6545D">
        <w:rPr>
          <w:b/>
          <w:i/>
          <w:lang w:val="en-US"/>
        </w:rPr>
        <w:t>RSRP</w:t>
      </w:r>
      <w:r w:rsidRPr="00E6545D">
        <w:rPr>
          <w:b/>
          <w:lang w:val="en-US"/>
        </w:rPr>
        <w:t xml:space="preserve"> against a threshold </w:t>
      </w:r>
      <w:r w:rsidRPr="00E6545D">
        <w:rPr>
          <w:b/>
          <w:i/>
          <w:lang w:val="en-US"/>
        </w:rPr>
        <w:t>T</w:t>
      </w:r>
      <w:r w:rsidRPr="00E6545D">
        <w:rPr>
          <w:b/>
          <w:i/>
          <w:vertAlign w:val="subscript"/>
          <w:lang w:val="en-US"/>
        </w:rPr>
        <w:t>RSRP</w:t>
      </w:r>
      <w:r w:rsidRPr="00E6545D">
        <w:rPr>
          <w:b/>
          <w:lang w:val="en-US"/>
        </w:rPr>
        <w:t>, the threshold is dynamic and dependent upon the absolute RSRP and the direction of travel of the UE.</w:t>
      </w:r>
    </w:p>
    <w:p w14:paraId="424DD90C" w14:textId="77777777" w:rsidR="00E6545D" w:rsidRDefault="00E6545D" w:rsidP="00C246F3">
      <w:pPr>
        <w:rPr>
          <w:lang w:val="en-US"/>
        </w:rPr>
      </w:pPr>
    </w:p>
    <w:p w14:paraId="6E096501" w14:textId="1CABAFD9" w:rsidR="005317FD" w:rsidRDefault="001C7167" w:rsidP="0041482F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To take into account the direction of travel of the UE, </w:t>
      </w:r>
      <w:r w:rsidR="00E6545D">
        <w:rPr>
          <w:rFonts w:eastAsia="MS Mincho"/>
          <w:lang w:val="en-US"/>
        </w:rPr>
        <w:t xml:space="preserve">two thresholds, </w:t>
      </w:r>
      <w:r w:rsidR="001929D2">
        <w:rPr>
          <w:rFonts w:eastAsia="MS Mincho"/>
          <w:lang w:val="en-US"/>
        </w:rPr>
        <w:t xml:space="preserve">a negative threshold </w:t>
      </w:r>
      <w:r w:rsidR="00E6545D" w:rsidRPr="001929D2">
        <w:rPr>
          <w:rFonts w:eastAsia="MS Mincho"/>
          <w:i/>
          <w:lang w:val="en-US"/>
        </w:rPr>
        <w:t>T</w:t>
      </w:r>
      <w:r w:rsidR="001929D2" w:rsidRPr="001929D2">
        <w:rPr>
          <w:rFonts w:eastAsia="MS Mincho"/>
          <w:i/>
          <w:vertAlign w:val="subscript"/>
          <w:lang w:val="en-US"/>
        </w:rPr>
        <w:t>-ve_</w:t>
      </w:r>
      <w:r w:rsidR="00E6545D" w:rsidRPr="001929D2">
        <w:rPr>
          <w:rFonts w:eastAsia="MS Mincho"/>
          <w:i/>
          <w:vertAlign w:val="subscript"/>
          <w:lang w:val="en-US"/>
        </w:rPr>
        <w:t>RSRP</w:t>
      </w:r>
      <w:r w:rsidR="00E6545D">
        <w:rPr>
          <w:rFonts w:eastAsia="MS Mincho"/>
          <w:lang w:val="en-US"/>
        </w:rPr>
        <w:t xml:space="preserve"> and </w:t>
      </w:r>
      <w:r w:rsidR="001929D2">
        <w:rPr>
          <w:rFonts w:eastAsia="MS Mincho"/>
          <w:lang w:val="en-US"/>
        </w:rPr>
        <w:t xml:space="preserve">a positive threshold </w:t>
      </w:r>
      <w:r w:rsidR="001929D2" w:rsidRPr="001929D2">
        <w:rPr>
          <w:rFonts w:eastAsia="MS Mincho"/>
          <w:i/>
          <w:lang w:val="en-US"/>
        </w:rPr>
        <w:t>T</w:t>
      </w:r>
      <w:r w:rsidR="001929D2" w:rsidRPr="001929D2">
        <w:rPr>
          <w:rFonts w:eastAsia="MS Mincho"/>
          <w:i/>
          <w:vertAlign w:val="subscript"/>
          <w:lang w:val="en-US"/>
        </w:rPr>
        <w:t>+ve_RSRP</w:t>
      </w:r>
      <w:r w:rsidR="00E6545D">
        <w:rPr>
          <w:rFonts w:eastAsia="MS Mincho"/>
          <w:lang w:val="en-US"/>
        </w:rPr>
        <w:t xml:space="preserve"> can be used</w:t>
      </w:r>
      <w:r w:rsidR="00907F37">
        <w:rPr>
          <w:rFonts w:eastAsia="MS Mincho"/>
          <w:lang w:val="en-US"/>
        </w:rPr>
        <w:t xml:space="preserve"> [2]</w:t>
      </w:r>
      <w:r w:rsidR="001929D2">
        <w:rPr>
          <w:rFonts w:eastAsia="MS Mincho"/>
          <w:lang w:val="en-US"/>
        </w:rPr>
        <w:t>.</w:t>
      </w:r>
      <w:r w:rsidR="00907F37">
        <w:rPr>
          <w:rFonts w:eastAsia="MS Mincho"/>
          <w:lang w:val="en-US"/>
        </w:rPr>
        <w:t xml:space="preserve">  The </w:t>
      </w:r>
      <w:r w:rsidR="00907F37" w:rsidRPr="00907F37">
        <w:rPr>
          <w:rFonts w:eastAsia="MS Mincho"/>
          <w:i/>
          <w:lang w:val="en-US"/>
        </w:rPr>
        <w:t>T</w:t>
      </w:r>
      <w:r w:rsidR="00907F37" w:rsidRPr="00907F37">
        <w:rPr>
          <w:rFonts w:eastAsia="MS Mincho"/>
          <w:i/>
          <w:vertAlign w:val="subscript"/>
          <w:lang w:val="en-US"/>
        </w:rPr>
        <w:t>-ve_RSRP</w:t>
      </w:r>
      <w:r w:rsidR="00907F37">
        <w:rPr>
          <w:rFonts w:eastAsia="MS Mincho"/>
          <w:lang w:val="en-US"/>
        </w:rPr>
        <w:t xml:space="preserve"> is to cater for the case where the UE moves toward the eNB whilst </w:t>
      </w:r>
      <w:r w:rsidR="00907F37" w:rsidRPr="00907F37">
        <w:rPr>
          <w:rFonts w:eastAsia="MS Mincho"/>
          <w:i/>
          <w:lang w:val="en-US"/>
        </w:rPr>
        <w:t>T</w:t>
      </w:r>
      <w:r w:rsidR="00907F37">
        <w:rPr>
          <w:rFonts w:eastAsia="MS Mincho"/>
          <w:i/>
          <w:vertAlign w:val="subscript"/>
          <w:lang w:val="en-US"/>
        </w:rPr>
        <w:t>+</w:t>
      </w:r>
      <w:r w:rsidR="00907F37" w:rsidRPr="00907F37">
        <w:rPr>
          <w:rFonts w:eastAsia="MS Mincho"/>
          <w:i/>
          <w:vertAlign w:val="subscript"/>
          <w:lang w:val="en-US"/>
        </w:rPr>
        <w:t>ve_RSRP</w:t>
      </w:r>
      <w:r w:rsidR="00907F37">
        <w:rPr>
          <w:rFonts w:eastAsia="MS Mincho"/>
          <w:lang w:val="en-US"/>
        </w:rPr>
        <w:t xml:space="preserve"> is to cater for the case where the UE moves away from the eNB.  That is:</w:t>
      </w:r>
    </w:p>
    <w:p w14:paraId="2672C992" w14:textId="3A84DA9F" w:rsidR="00907F37" w:rsidRPr="00907F37" w:rsidRDefault="00907F37" w:rsidP="00907F37">
      <w:pPr>
        <w:jc w:val="center"/>
        <w:rPr>
          <w:b/>
          <w:lang w:val="en-US"/>
        </w:rPr>
      </w:pPr>
      <w:r w:rsidRPr="001929D2">
        <w:rPr>
          <w:rFonts w:eastAsia="MS Mincho"/>
          <w:i/>
          <w:lang w:val="en-US"/>
        </w:rPr>
        <w:t>T</w:t>
      </w:r>
      <w:r w:rsidRPr="001929D2">
        <w:rPr>
          <w:rFonts w:eastAsia="MS Mincho"/>
          <w:i/>
          <w:vertAlign w:val="subscript"/>
          <w:lang w:val="en-US"/>
        </w:rPr>
        <w:t>-ve_RSRP</w:t>
      </w:r>
      <w:r>
        <w:rPr>
          <w:rFonts w:eastAsia="MS Mincho"/>
          <w:lang w:val="en-US"/>
        </w:rPr>
        <w:t xml:space="preserve"> ≤ </w:t>
      </w:r>
      <w:r w:rsidRPr="008F1F96">
        <w:rPr>
          <w:i/>
          <w:lang w:val="en-US"/>
        </w:rPr>
        <w:sym w:font="Symbol" w:char="F044"/>
      </w:r>
      <w:r w:rsidRPr="008F1F96">
        <w:rPr>
          <w:i/>
          <w:lang w:val="en-US"/>
        </w:rPr>
        <w:t>RSRP</w:t>
      </w:r>
      <w:r>
        <w:rPr>
          <w:lang w:val="en-US"/>
        </w:rPr>
        <w:t xml:space="preserve"> </w:t>
      </w:r>
      <w:r>
        <w:rPr>
          <w:rFonts w:eastAsia="MS Mincho"/>
          <w:lang w:val="en-US"/>
        </w:rPr>
        <w:t xml:space="preserve">≤ </w:t>
      </w:r>
      <w:r w:rsidRPr="00907F37">
        <w:rPr>
          <w:rFonts w:eastAsia="MS Mincho"/>
          <w:i/>
          <w:lang w:val="en-US"/>
        </w:rPr>
        <w:t>T</w:t>
      </w:r>
      <w:r>
        <w:rPr>
          <w:rFonts w:eastAsia="MS Mincho"/>
          <w:i/>
          <w:vertAlign w:val="subscript"/>
          <w:lang w:val="en-US"/>
        </w:rPr>
        <w:t>+</w:t>
      </w:r>
      <w:r w:rsidRPr="00907F37">
        <w:rPr>
          <w:rFonts w:eastAsia="MS Mincho"/>
          <w:i/>
          <w:vertAlign w:val="subscript"/>
          <w:lang w:val="en-US"/>
        </w:rPr>
        <w:t>ve_RSRP</w:t>
      </w:r>
    </w:p>
    <w:p w14:paraId="15C3E78C" w14:textId="77777777" w:rsidR="00907F37" w:rsidRDefault="00907F37" w:rsidP="00907F37">
      <w:pPr>
        <w:rPr>
          <w:lang w:val="en-US"/>
        </w:rPr>
      </w:pPr>
    </w:p>
    <w:p w14:paraId="69268295" w14:textId="1C5BC5AE" w:rsidR="00907F37" w:rsidRDefault="00907F37" w:rsidP="00907F37">
      <w:pPr>
        <w:rPr>
          <w:lang w:val="en-US"/>
        </w:rPr>
      </w:pPr>
      <w:r>
        <w:rPr>
          <w:lang w:val="en-US"/>
        </w:rPr>
        <w:t xml:space="preserve">Since the thresholds </w:t>
      </w:r>
      <w:r w:rsidRPr="00907F37">
        <w:rPr>
          <w:rFonts w:eastAsia="MS Mincho"/>
          <w:i/>
          <w:lang w:val="en-US"/>
        </w:rPr>
        <w:t>T</w:t>
      </w:r>
      <w:r w:rsidRPr="00907F37">
        <w:rPr>
          <w:rFonts w:eastAsia="MS Mincho"/>
          <w:i/>
          <w:vertAlign w:val="subscript"/>
          <w:lang w:val="en-US"/>
        </w:rPr>
        <w:t>-ve_RSRP</w:t>
      </w:r>
      <w:r>
        <w:rPr>
          <w:lang w:val="en-US"/>
        </w:rPr>
        <w:t xml:space="preserve"> and </w:t>
      </w:r>
      <w:r w:rsidRPr="00907F37">
        <w:rPr>
          <w:rFonts w:eastAsia="MS Mincho"/>
          <w:i/>
          <w:lang w:val="en-US"/>
        </w:rPr>
        <w:t>T</w:t>
      </w:r>
      <w:r>
        <w:rPr>
          <w:rFonts w:eastAsia="MS Mincho"/>
          <w:i/>
          <w:vertAlign w:val="subscript"/>
          <w:lang w:val="en-US"/>
        </w:rPr>
        <w:t>+</w:t>
      </w:r>
      <w:r w:rsidRPr="00907F37">
        <w:rPr>
          <w:rFonts w:eastAsia="MS Mincho"/>
          <w:i/>
          <w:vertAlign w:val="subscript"/>
          <w:lang w:val="en-US"/>
        </w:rPr>
        <w:t>ve_RSRP</w:t>
      </w:r>
      <w:r>
        <w:rPr>
          <w:lang w:val="en-US"/>
        </w:rPr>
        <w:t xml:space="preserve"> depend on the UE’s absolute RSRP, in [1], it is propose</w:t>
      </w:r>
      <w:r w:rsidR="00863E4E">
        <w:rPr>
          <w:lang w:val="en-US"/>
        </w:rPr>
        <w:t>d</w:t>
      </w:r>
      <w:r>
        <w:rPr>
          <w:lang w:val="en-US"/>
        </w:rPr>
        <w:t xml:space="preserve"> to use a lookup table to determine these thresholds where the input to this table is the UE’s measured RSRP.  An example lookup table is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_Ref1128220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>, where the UE select</w:t>
      </w:r>
      <w:r w:rsidR="00863E4E">
        <w:rPr>
          <w:lang w:val="en-US"/>
        </w:rPr>
        <w:t>s</w:t>
      </w:r>
      <w:r>
        <w:rPr>
          <w:lang w:val="en-US"/>
        </w:rPr>
        <w:t xml:space="preserve"> the thresholds </w:t>
      </w:r>
      <w:r w:rsidRPr="00907F37">
        <w:rPr>
          <w:rFonts w:eastAsia="MS Mincho"/>
          <w:i/>
          <w:lang w:val="en-US"/>
        </w:rPr>
        <w:t>T</w:t>
      </w:r>
      <w:r w:rsidRPr="00907F37">
        <w:rPr>
          <w:rFonts w:eastAsia="MS Mincho"/>
          <w:i/>
          <w:vertAlign w:val="subscript"/>
          <w:lang w:val="en-US"/>
        </w:rPr>
        <w:t>-ve_RSRP</w:t>
      </w:r>
      <w:r>
        <w:rPr>
          <w:lang w:val="en-US"/>
        </w:rPr>
        <w:t xml:space="preserve"> and </w:t>
      </w:r>
      <w:r w:rsidRPr="00907F37">
        <w:rPr>
          <w:rFonts w:eastAsia="MS Mincho"/>
          <w:i/>
          <w:lang w:val="en-US"/>
        </w:rPr>
        <w:t>T</w:t>
      </w:r>
      <w:r>
        <w:rPr>
          <w:rFonts w:eastAsia="MS Mincho"/>
          <w:i/>
          <w:vertAlign w:val="subscript"/>
          <w:lang w:val="en-US"/>
        </w:rPr>
        <w:t>+</w:t>
      </w:r>
      <w:r w:rsidRPr="00907F37">
        <w:rPr>
          <w:rFonts w:eastAsia="MS Mincho"/>
          <w:i/>
          <w:vertAlign w:val="subscript"/>
          <w:lang w:val="en-US"/>
        </w:rPr>
        <w:t>ve_RSRP</w:t>
      </w:r>
      <w:r>
        <w:rPr>
          <w:lang w:val="en-US"/>
        </w:rPr>
        <w:t xml:space="preserve"> depending on its RSRP range.  Such a lookup table can be configured by the eNB where the values can be based on the path loss model of the cell.</w:t>
      </w:r>
    </w:p>
    <w:p w14:paraId="056C7502" w14:textId="77777777" w:rsidR="00907F37" w:rsidRDefault="00907F37" w:rsidP="00907F37">
      <w:pPr>
        <w:rPr>
          <w:rFonts w:eastAsia="MS Mincho"/>
          <w:lang w:val="en-US"/>
        </w:rPr>
      </w:pPr>
    </w:p>
    <w:p w14:paraId="2CD19044" w14:textId="1FAE881C" w:rsidR="00907F37" w:rsidRDefault="00907F37" w:rsidP="00907F37">
      <w:pPr>
        <w:pStyle w:val="Caption"/>
        <w:jc w:val="center"/>
        <w:rPr>
          <w:rFonts w:eastAsia="MS Mincho"/>
          <w:lang w:val="en-US"/>
        </w:rPr>
      </w:pPr>
      <w:bookmarkStart w:id="2" w:name="_Ref1128220"/>
      <w:r>
        <w:t xml:space="preserve">Table </w:t>
      </w:r>
      <w:r>
        <w:fldChar w:fldCharType="begin"/>
      </w:r>
      <w:r>
        <w:rPr>
          <w:noProof/>
        </w:rP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Example lookup table for absolute RSRP range and RSRP threshold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066"/>
        <w:gridCol w:w="2748"/>
        <w:gridCol w:w="2628"/>
      </w:tblGrid>
      <w:tr w:rsidR="00907F37" w14:paraId="67FC5A85" w14:textId="2230C3C0" w:rsidTr="00907F37"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983F91" w14:textId="77777777" w:rsidR="00907F37" w:rsidRDefault="00907F37" w:rsidP="00AB118F">
            <w:pPr>
              <w:jc w:val="center"/>
              <w:rPr>
                <w:rFonts w:eastAsia="MS Mincho"/>
                <w:b/>
                <w:lang w:val="en-US"/>
              </w:rPr>
            </w:pPr>
            <w:r>
              <w:rPr>
                <w:rFonts w:eastAsia="MS Mincho"/>
                <w:b/>
                <w:lang w:val="en-US"/>
              </w:rPr>
              <w:t>RSRP range (dBm)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CB86BA" w14:textId="196ACB6F" w:rsidR="00907F37" w:rsidRDefault="00907F37" w:rsidP="00AB118F">
            <w:pPr>
              <w:jc w:val="center"/>
              <w:rPr>
                <w:rFonts w:eastAsia="MS Mincho"/>
                <w:b/>
                <w:lang w:val="en-US"/>
              </w:rPr>
            </w:pPr>
            <w:r>
              <w:rPr>
                <w:rFonts w:eastAsia="MS Mincho"/>
                <w:b/>
                <w:i/>
                <w:lang w:val="en-US"/>
              </w:rPr>
              <w:t>T</w:t>
            </w:r>
            <w:r>
              <w:rPr>
                <w:rFonts w:eastAsia="MS Mincho"/>
                <w:b/>
                <w:i/>
                <w:vertAlign w:val="subscript"/>
                <w:lang w:val="en-US"/>
              </w:rPr>
              <w:t>-ve_RSRP</w:t>
            </w:r>
            <w:r>
              <w:rPr>
                <w:rFonts w:eastAsia="MS Mincho"/>
                <w:b/>
                <w:lang w:val="en-US"/>
              </w:rPr>
              <w:t xml:space="preserve"> (dB)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D27324" w14:textId="13DBAF1C" w:rsidR="00907F37" w:rsidRDefault="00907F37" w:rsidP="00AB118F">
            <w:pPr>
              <w:jc w:val="center"/>
              <w:rPr>
                <w:rFonts w:eastAsia="MS Mincho"/>
                <w:b/>
                <w:i/>
                <w:lang w:val="en-US"/>
              </w:rPr>
            </w:pPr>
            <w:r>
              <w:rPr>
                <w:rFonts w:eastAsia="MS Mincho"/>
                <w:b/>
                <w:i/>
                <w:lang w:val="en-US"/>
              </w:rPr>
              <w:t>T</w:t>
            </w:r>
            <w:r>
              <w:rPr>
                <w:rFonts w:eastAsia="MS Mincho"/>
                <w:b/>
                <w:i/>
                <w:vertAlign w:val="subscript"/>
                <w:lang w:val="en-US"/>
              </w:rPr>
              <w:t>+ve_RSRP</w:t>
            </w:r>
            <w:r>
              <w:rPr>
                <w:rFonts w:eastAsia="MS Mincho"/>
                <w:b/>
                <w:lang w:val="en-US"/>
              </w:rPr>
              <w:t xml:space="preserve"> (dB)</w:t>
            </w:r>
          </w:p>
        </w:tc>
      </w:tr>
      <w:tr w:rsidR="00907F37" w14:paraId="7F2A65C6" w14:textId="7B981679" w:rsidTr="00907F37"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8F0F" w14:textId="77777777" w:rsidR="00907F37" w:rsidRDefault="00907F37" w:rsidP="00AB118F">
            <w:pPr>
              <w:pStyle w:val="ListParagraph"/>
              <w:ind w:left="1080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&gt;-60 dBm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1E1E" w14:textId="2D60FA0B" w:rsidR="00907F37" w:rsidRDefault="00907F37" w:rsidP="00AB118F">
            <w:pPr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-25 dB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1D77" w14:textId="6DD98096" w:rsidR="00907F37" w:rsidRDefault="00907F37" w:rsidP="00AB118F">
            <w:pPr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20 dB</w:t>
            </w:r>
          </w:p>
        </w:tc>
      </w:tr>
      <w:tr w:rsidR="00907F37" w14:paraId="1B1D36CE" w14:textId="50AE1B4C" w:rsidTr="00907F37"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46F5" w14:textId="77777777" w:rsidR="00907F37" w:rsidRDefault="00907F37" w:rsidP="00AB118F">
            <w:pPr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-60 dBm to -85 dBm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D961" w14:textId="7C654A0A" w:rsidR="00907F37" w:rsidRDefault="00907F37" w:rsidP="00AB118F">
            <w:pPr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-10 dB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0DDF" w14:textId="4C26FC44" w:rsidR="00907F37" w:rsidRDefault="00907F37" w:rsidP="00AB118F">
            <w:pPr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8 dB</w:t>
            </w:r>
          </w:p>
        </w:tc>
      </w:tr>
      <w:tr w:rsidR="00907F37" w14:paraId="21F9A08C" w14:textId="13D306FF" w:rsidTr="00907F37"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4B23" w14:textId="77777777" w:rsidR="00907F37" w:rsidRDefault="00907F37" w:rsidP="00AB118F">
            <w:pPr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&lt;-90 dBm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5070" w14:textId="54D65DDD" w:rsidR="00907F37" w:rsidRDefault="00907F37" w:rsidP="00AB118F">
            <w:pPr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-5 dB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1617" w14:textId="0EA8ADA0" w:rsidR="00907F37" w:rsidRDefault="00907F37" w:rsidP="00AB118F">
            <w:pPr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 dB</w:t>
            </w:r>
          </w:p>
        </w:tc>
      </w:tr>
    </w:tbl>
    <w:p w14:paraId="0090D5C2" w14:textId="77777777" w:rsidR="00907F37" w:rsidRDefault="00907F37" w:rsidP="00907F37">
      <w:pPr>
        <w:rPr>
          <w:rFonts w:eastAsia="MS Mincho"/>
          <w:lang w:val="en-US"/>
        </w:rPr>
      </w:pPr>
    </w:p>
    <w:p w14:paraId="7974C02F" w14:textId="39E343D1" w:rsidR="00577F8A" w:rsidRPr="00D473F5" w:rsidRDefault="00907F37" w:rsidP="0041482F">
      <w:pPr>
        <w:rPr>
          <w:b/>
          <w:lang w:val="en-US"/>
        </w:rPr>
      </w:pPr>
      <w:r w:rsidRPr="00D473F5">
        <w:rPr>
          <w:b/>
          <w:lang w:val="en-US"/>
        </w:rPr>
        <w:t xml:space="preserve">Proposal 1: The </w:t>
      </w:r>
      <w:r w:rsidR="00863E4E" w:rsidRPr="00D473F5">
        <w:rPr>
          <w:b/>
          <w:lang w:val="en-US"/>
        </w:rPr>
        <w:t>criteri</w:t>
      </w:r>
      <w:r w:rsidR="00863E4E">
        <w:rPr>
          <w:b/>
          <w:lang w:val="en-US"/>
        </w:rPr>
        <w:t>on</w:t>
      </w:r>
      <w:r w:rsidR="00863E4E" w:rsidRPr="00D473F5">
        <w:rPr>
          <w:b/>
          <w:lang w:val="en-US"/>
        </w:rPr>
        <w:t xml:space="preserve"> </w:t>
      </w:r>
      <w:r w:rsidRPr="00D473F5">
        <w:rPr>
          <w:b/>
          <w:lang w:val="en-US"/>
        </w:rPr>
        <w:t xml:space="preserve">for validating TA using </w:t>
      </w:r>
      <w:r w:rsidR="00863E4E" w:rsidRPr="00D473F5">
        <w:rPr>
          <w:b/>
          <w:lang w:val="en-US"/>
        </w:rPr>
        <w:t>servi</w:t>
      </w:r>
      <w:r w:rsidR="00863E4E">
        <w:rPr>
          <w:b/>
          <w:lang w:val="en-US"/>
        </w:rPr>
        <w:t>ng</w:t>
      </w:r>
      <w:r w:rsidR="00863E4E" w:rsidRPr="00D473F5">
        <w:rPr>
          <w:b/>
          <w:lang w:val="en-US"/>
        </w:rPr>
        <w:t xml:space="preserve"> </w:t>
      </w:r>
      <w:r w:rsidRPr="00D473F5">
        <w:rPr>
          <w:b/>
          <w:lang w:val="en-US"/>
        </w:rPr>
        <w:t xml:space="preserve">cell RSRP change </w:t>
      </w:r>
      <w:r w:rsidRPr="00D473F5">
        <w:rPr>
          <w:b/>
          <w:i/>
          <w:lang w:val="en-US"/>
        </w:rPr>
        <w:sym w:font="Symbol" w:char="F044"/>
      </w:r>
      <w:r w:rsidRPr="00D473F5">
        <w:rPr>
          <w:b/>
          <w:i/>
          <w:lang w:val="en-US"/>
        </w:rPr>
        <w:t>RSRP</w:t>
      </w:r>
      <w:r w:rsidRPr="00D473F5">
        <w:rPr>
          <w:b/>
          <w:lang w:val="en-US"/>
        </w:rPr>
        <w:t xml:space="preserve"> is:</w:t>
      </w:r>
    </w:p>
    <w:p w14:paraId="5C6366B5" w14:textId="77777777" w:rsidR="00907F37" w:rsidRPr="00D473F5" w:rsidRDefault="00907F37" w:rsidP="00907F37">
      <w:pPr>
        <w:jc w:val="center"/>
        <w:rPr>
          <w:b/>
          <w:lang w:val="en-US"/>
        </w:rPr>
      </w:pPr>
      <w:r w:rsidRPr="00D473F5">
        <w:rPr>
          <w:rFonts w:eastAsia="MS Mincho"/>
          <w:b/>
          <w:i/>
          <w:lang w:val="en-US"/>
        </w:rPr>
        <w:t>T</w:t>
      </w:r>
      <w:r w:rsidRPr="00D473F5">
        <w:rPr>
          <w:rFonts w:eastAsia="MS Mincho"/>
          <w:b/>
          <w:i/>
          <w:vertAlign w:val="subscript"/>
          <w:lang w:val="en-US"/>
        </w:rPr>
        <w:t>-ve_RSRP</w:t>
      </w:r>
      <w:r w:rsidRPr="00D473F5">
        <w:rPr>
          <w:rFonts w:eastAsia="MS Mincho"/>
          <w:b/>
          <w:lang w:val="en-US"/>
        </w:rPr>
        <w:t xml:space="preserve"> ≤ </w:t>
      </w:r>
      <w:r w:rsidRPr="00D473F5">
        <w:rPr>
          <w:b/>
          <w:i/>
          <w:lang w:val="en-US"/>
        </w:rPr>
        <w:sym w:font="Symbol" w:char="F044"/>
      </w:r>
      <w:r w:rsidRPr="00D473F5">
        <w:rPr>
          <w:b/>
          <w:i/>
          <w:lang w:val="en-US"/>
        </w:rPr>
        <w:t>RSRP</w:t>
      </w:r>
      <w:r w:rsidRPr="00D473F5">
        <w:rPr>
          <w:b/>
          <w:lang w:val="en-US"/>
        </w:rPr>
        <w:t xml:space="preserve"> </w:t>
      </w:r>
      <w:r w:rsidRPr="00D473F5">
        <w:rPr>
          <w:rFonts w:eastAsia="MS Mincho"/>
          <w:b/>
          <w:lang w:val="en-US"/>
        </w:rPr>
        <w:t xml:space="preserve">≤ </w:t>
      </w:r>
      <w:r w:rsidRPr="00D473F5">
        <w:rPr>
          <w:rFonts w:eastAsia="MS Mincho"/>
          <w:b/>
          <w:i/>
          <w:lang w:val="en-US"/>
        </w:rPr>
        <w:t>T</w:t>
      </w:r>
      <w:r w:rsidRPr="00D473F5">
        <w:rPr>
          <w:rFonts w:eastAsia="MS Mincho"/>
          <w:b/>
          <w:i/>
          <w:vertAlign w:val="subscript"/>
          <w:lang w:val="en-US"/>
        </w:rPr>
        <w:t>+ve_RSRP</w:t>
      </w:r>
    </w:p>
    <w:p w14:paraId="36EDD078" w14:textId="51EB425D" w:rsidR="00907F37" w:rsidRPr="00D473F5" w:rsidRDefault="00907F37" w:rsidP="00907F37">
      <w:pPr>
        <w:pStyle w:val="ListParagraph"/>
        <w:numPr>
          <w:ilvl w:val="0"/>
          <w:numId w:val="34"/>
        </w:numPr>
        <w:rPr>
          <w:b/>
          <w:lang w:val="en-US"/>
        </w:rPr>
      </w:pPr>
      <w:r w:rsidRPr="00D473F5">
        <w:rPr>
          <w:b/>
          <w:lang w:val="en-US"/>
        </w:rPr>
        <w:t>Where:</w:t>
      </w:r>
    </w:p>
    <w:p w14:paraId="32E26247" w14:textId="5B27ACF1" w:rsidR="00907F37" w:rsidRPr="00D473F5" w:rsidRDefault="00907F37" w:rsidP="00907F37">
      <w:pPr>
        <w:pStyle w:val="ListParagraph"/>
        <w:numPr>
          <w:ilvl w:val="1"/>
          <w:numId w:val="34"/>
        </w:numPr>
        <w:rPr>
          <w:b/>
          <w:lang w:val="en-US"/>
        </w:rPr>
      </w:pPr>
      <w:r w:rsidRPr="00D473F5">
        <w:rPr>
          <w:b/>
          <w:i/>
          <w:lang w:val="en-US"/>
        </w:rPr>
        <w:sym w:font="Symbol" w:char="F044"/>
      </w:r>
      <w:r w:rsidRPr="00D473F5">
        <w:rPr>
          <w:b/>
          <w:i/>
          <w:lang w:val="en-US"/>
        </w:rPr>
        <w:t>RSRP</w:t>
      </w:r>
      <w:r w:rsidRPr="00D473F5">
        <w:rPr>
          <w:b/>
          <w:lang w:val="en-US"/>
        </w:rPr>
        <w:t xml:space="preserve"> = </w:t>
      </w:r>
      <w:r w:rsidRPr="00D473F5">
        <w:rPr>
          <w:b/>
          <w:i/>
          <w:lang w:val="en-US"/>
        </w:rPr>
        <w:t>RSRP</w:t>
      </w:r>
      <w:r w:rsidRPr="00D473F5">
        <w:rPr>
          <w:b/>
          <w:i/>
          <w:vertAlign w:val="subscript"/>
          <w:lang w:val="en-US"/>
        </w:rPr>
        <w:t>TA</w:t>
      </w:r>
      <w:r w:rsidRPr="00D473F5">
        <w:rPr>
          <w:b/>
          <w:lang w:val="en-US"/>
        </w:rPr>
        <w:t xml:space="preserve"> – </w:t>
      </w:r>
      <w:r w:rsidRPr="00D473F5">
        <w:rPr>
          <w:b/>
          <w:i/>
          <w:lang w:val="en-US"/>
        </w:rPr>
        <w:t>RSRP</w:t>
      </w:r>
      <w:r w:rsidRPr="00D473F5">
        <w:rPr>
          <w:b/>
          <w:i/>
          <w:vertAlign w:val="subscript"/>
          <w:lang w:val="en-US"/>
        </w:rPr>
        <w:t>Evaluate</w:t>
      </w:r>
    </w:p>
    <w:p w14:paraId="27271ADF" w14:textId="67D0225B" w:rsidR="00907F37" w:rsidRPr="00D473F5" w:rsidRDefault="00907F37" w:rsidP="00907F37">
      <w:pPr>
        <w:pStyle w:val="ListParagraph"/>
        <w:numPr>
          <w:ilvl w:val="2"/>
          <w:numId w:val="34"/>
        </w:numPr>
        <w:rPr>
          <w:b/>
          <w:lang w:val="en-US"/>
        </w:rPr>
      </w:pPr>
      <w:r w:rsidRPr="00D473F5">
        <w:rPr>
          <w:b/>
          <w:i/>
          <w:lang w:val="en-US"/>
        </w:rPr>
        <w:t>RSRP</w:t>
      </w:r>
      <w:r w:rsidRPr="00D473F5">
        <w:rPr>
          <w:b/>
          <w:i/>
          <w:vertAlign w:val="subscript"/>
          <w:lang w:val="en-US"/>
        </w:rPr>
        <w:t>TA</w:t>
      </w:r>
      <w:r w:rsidRPr="00D473F5">
        <w:rPr>
          <w:b/>
          <w:i/>
          <w:lang w:val="en-US"/>
        </w:rPr>
        <w:t xml:space="preserve"> </w:t>
      </w:r>
      <w:r w:rsidRPr="00D473F5">
        <w:rPr>
          <w:b/>
          <w:lang w:val="en-US"/>
        </w:rPr>
        <w:t>is the RSRP measured when the TA is obtained</w:t>
      </w:r>
    </w:p>
    <w:p w14:paraId="7C1707E6" w14:textId="6DB21098" w:rsidR="00907F37" w:rsidRPr="00D473F5" w:rsidRDefault="00907F37" w:rsidP="00907F37">
      <w:pPr>
        <w:pStyle w:val="ListParagraph"/>
        <w:numPr>
          <w:ilvl w:val="2"/>
          <w:numId w:val="34"/>
        </w:numPr>
        <w:rPr>
          <w:b/>
          <w:lang w:val="en-US"/>
        </w:rPr>
      </w:pPr>
      <w:r w:rsidRPr="00D473F5">
        <w:rPr>
          <w:b/>
          <w:i/>
          <w:lang w:val="en-US"/>
        </w:rPr>
        <w:t>RSRP</w:t>
      </w:r>
      <w:r w:rsidRPr="00D473F5">
        <w:rPr>
          <w:b/>
          <w:i/>
          <w:vertAlign w:val="subscript"/>
          <w:lang w:val="en-US"/>
        </w:rPr>
        <w:t>Evaluate</w:t>
      </w:r>
      <w:r w:rsidRPr="00D473F5">
        <w:rPr>
          <w:b/>
          <w:lang w:val="en-US"/>
        </w:rPr>
        <w:t xml:space="preserve"> is the RSRP measured when the TA is evaluated</w:t>
      </w:r>
    </w:p>
    <w:p w14:paraId="35366BE1" w14:textId="5001A85B" w:rsidR="00907F37" w:rsidRPr="00D473F5" w:rsidRDefault="00907F37" w:rsidP="00907F37">
      <w:pPr>
        <w:pStyle w:val="ListParagraph"/>
        <w:numPr>
          <w:ilvl w:val="1"/>
          <w:numId w:val="34"/>
        </w:numPr>
        <w:rPr>
          <w:b/>
          <w:lang w:val="en-US"/>
        </w:rPr>
      </w:pPr>
      <w:r w:rsidRPr="00D473F5">
        <w:rPr>
          <w:rFonts w:eastAsia="MS Mincho"/>
          <w:b/>
          <w:i/>
          <w:lang w:val="en-US"/>
        </w:rPr>
        <w:t>T</w:t>
      </w:r>
      <w:r w:rsidRPr="00D473F5">
        <w:rPr>
          <w:rFonts w:eastAsia="MS Mincho"/>
          <w:b/>
          <w:i/>
          <w:vertAlign w:val="subscript"/>
          <w:lang w:val="en-US"/>
        </w:rPr>
        <w:t>-ve_RSRP</w:t>
      </w:r>
      <w:r w:rsidRPr="00D473F5">
        <w:rPr>
          <w:b/>
          <w:lang w:val="en-US"/>
        </w:rPr>
        <w:t xml:space="preserve"> and </w:t>
      </w:r>
      <w:r w:rsidRPr="00D473F5">
        <w:rPr>
          <w:rFonts w:eastAsia="MS Mincho"/>
          <w:b/>
          <w:i/>
          <w:lang w:val="en-US"/>
        </w:rPr>
        <w:t>T</w:t>
      </w:r>
      <w:r w:rsidRPr="00D473F5">
        <w:rPr>
          <w:rFonts w:eastAsia="MS Mincho"/>
          <w:b/>
          <w:i/>
          <w:vertAlign w:val="subscript"/>
          <w:lang w:val="en-US"/>
        </w:rPr>
        <w:t>+ve_RSRP</w:t>
      </w:r>
      <w:r w:rsidRPr="00D473F5">
        <w:rPr>
          <w:rFonts w:eastAsia="MS Mincho"/>
          <w:b/>
          <w:lang w:val="en-US"/>
        </w:rPr>
        <w:t xml:space="preserve"> are determined from a lookup table </w:t>
      </w:r>
      <w:r w:rsidR="00D473F5" w:rsidRPr="00D473F5">
        <w:rPr>
          <w:rFonts w:eastAsia="MS Mincho"/>
          <w:b/>
          <w:lang w:val="en-US"/>
        </w:rPr>
        <w:t xml:space="preserve">using </w:t>
      </w:r>
      <w:r w:rsidR="00D473F5" w:rsidRPr="00D473F5">
        <w:rPr>
          <w:b/>
          <w:i/>
          <w:lang w:val="en-US"/>
        </w:rPr>
        <w:t>RSRP</w:t>
      </w:r>
      <w:r w:rsidR="00D473F5" w:rsidRPr="00D473F5">
        <w:rPr>
          <w:b/>
          <w:i/>
          <w:vertAlign w:val="subscript"/>
          <w:lang w:val="en-US"/>
        </w:rPr>
        <w:t>Evaluate</w:t>
      </w:r>
      <w:r w:rsidR="00D473F5" w:rsidRPr="00D473F5">
        <w:rPr>
          <w:b/>
          <w:lang w:val="en-US"/>
        </w:rPr>
        <w:t xml:space="preserve"> as an input</w:t>
      </w:r>
    </w:p>
    <w:p w14:paraId="2D95DC05" w14:textId="77777777" w:rsidR="00907F37" w:rsidRDefault="00907F37" w:rsidP="0041482F">
      <w:pPr>
        <w:rPr>
          <w:lang w:val="en-US"/>
        </w:rPr>
      </w:pPr>
    </w:p>
    <w:p w14:paraId="0EFDCFC7" w14:textId="77777777" w:rsidR="002D4F72" w:rsidRDefault="002D4F72" w:rsidP="002D4F72">
      <w:pPr>
        <w:pStyle w:val="Heading2"/>
        <w:numPr>
          <w:ilvl w:val="1"/>
          <w:numId w:val="8"/>
        </w:numPr>
        <w:rPr>
          <w:lang w:val="en-US"/>
        </w:rPr>
      </w:pPr>
      <w:r>
        <w:rPr>
          <w:lang w:val="en-US"/>
        </w:rPr>
        <w:t>PUR Configuration</w:t>
      </w:r>
    </w:p>
    <w:p w14:paraId="1877BC6D" w14:textId="27239FE7" w:rsidR="00D473F5" w:rsidRDefault="00D473F5" w:rsidP="002D4F72">
      <w:pPr>
        <w:rPr>
          <w:rFonts w:eastAsia="MS Mincho"/>
          <w:lang w:val="en-US"/>
        </w:rPr>
      </w:pPr>
      <w:r>
        <w:rPr>
          <w:lang w:val="en-US"/>
        </w:rPr>
        <w:t xml:space="preserve">It was agreed that at least the Timing Advance &amp; UE Tx Power can be changed after a PUR transmission but it was FFS whether the Repetition can be changed.  </w:t>
      </w:r>
      <w:r>
        <w:rPr>
          <w:rFonts w:eastAsia="MS Mincho"/>
          <w:lang w:val="en-US"/>
        </w:rPr>
        <w:t>When the radio condition deteriorates, the PUSCH transmission using PUR parameters configured for a better radio condition would fail.  To avoid this, the PUR configuration can have multiple repetitions to cover a large range of radio conditions</w:t>
      </w:r>
      <w:r w:rsidR="00E540CB">
        <w:rPr>
          <w:rFonts w:eastAsia="MS Mincho"/>
          <w:lang w:val="en-US"/>
        </w:rPr>
        <w:t>,</w:t>
      </w:r>
      <w:r>
        <w:rPr>
          <w:rFonts w:eastAsia="MS Mincho"/>
          <w:lang w:val="en-US"/>
        </w:rPr>
        <w:t xml:space="preserve"> similar to that used for MPDCCH scheduling paging.  However, this method would lead to inefficient use of resources to support the worst case scenario since these resources are dedicated.  Therefore, </w:t>
      </w:r>
      <w:r w:rsidR="00E540CB">
        <w:rPr>
          <w:rFonts w:eastAsia="MS Mincho"/>
          <w:lang w:val="en-US"/>
        </w:rPr>
        <w:t xml:space="preserve">instead </w:t>
      </w:r>
      <w:r>
        <w:rPr>
          <w:rFonts w:eastAsia="MS Mincho"/>
          <w:lang w:val="en-US"/>
        </w:rPr>
        <w:t>allowing the repetition to be changed would lead to efficient use of resources.</w:t>
      </w:r>
    </w:p>
    <w:p w14:paraId="531E30E6" w14:textId="03325678" w:rsidR="00D473F5" w:rsidRPr="00D473F5" w:rsidRDefault="00D473F5" w:rsidP="00D473F5">
      <w:pPr>
        <w:rPr>
          <w:b/>
        </w:rPr>
      </w:pPr>
      <w:r w:rsidRPr="00D473F5">
        <w:rPr>
          <w:rFonts w:eastAsia="MS Mincho"/>
          <w:b/>
          <w:lang w:val="en-US"/>
        </w:rPr>
        <w:lastRenderedPageBreak/>
        <w:t xml:space="preserve">Proposal 2: </w:t>
      </w:r>
      <w:r w:rsidRPr="00D473F5">
        <w:rPr>
          <w:b/>
        </w:rPr>
        <w:t>In idle mode, the PUSCH repetition may be updated after a PUR transmission.</w:t>
      </w:r>
    </w:p>
    <w:p w14:paraId="3A9D4089" w14:textId="48AF4BDA" w:rsidR="00D473F5" w:rsidRDefault="00D473F5" w:rsidP="002D4F72">
      <w:pPr>
        <w:rPr>
          <w:lang w:val="en-US"/>
        </w:rPr>
      </w:pPr>
    </w:p>
    <w:p w14:paraId="3A18ACC8" w14:textId="3E170F63" w:rsidR="0023091B" w:rsidRDefault="00D473F5" w:rsidP="002D4F72">
      <w:pPr>
        <w:rPr>
          <w:lang w:val="en-US"/>
        </w:rPr>
      </w:pPr>
      <w:r>
        <w:rPr>
          <w:lang w:val="en-US"/>
        </w:rPr>
        <w:t>Apart from Timing Advance, UE Tx Power and Repetition, other parameters such as the time resource, frequency resource &amp; MCS/TBS should also be allowed to change</w:t>
      </w:r>
      <w:r w:rsidR="002D4F72">
        <w:rPr>
          <w:lang w:val="en-US"/>
        </w:rPr>
        <w:t xml:space="preserve">.  </w:t>
      </w:r>
      <w:r>
        <w:rPr>
          <w:lang w:val="en-US"/>
        </w:rPr>
        <w:t>These parameters are configured based on the UE’s service</w:t>
      </w:r>
      <w:r w:rsidR="007C7478">
        <w:rPr>
          <w:lang w:val="en-US"/>
        </w:rPr>
        <w:t xml:space="preserve"> &amp; traffic pattern</w:t>
      </w:r>
      <w:r>
        <w:rPr>
          <w:lang w:val="en-US"/>
        </w:rPr>
        <w:t xml:space="preserve">, </w:t>
      </w:r>
      <w:r w:rsidR="002A006C">
        <w:rPr>
          <w:lang w:val="en-US"/>
        </w:rPr>
        <w:t xml:space="preserve">e.g. </w:t>
      </w:r>
      <w:r w:rsidR="00B2782B">
        <w:rPr>
          <w:lang w:val="en-US"/>
        </w:rPr>
        <w:t xml:space="preserve">an </w:t>
      </w:r>
      <w:r w:rsidR="002A006C">
        <w:rPr>
          <w:lang w:val="en-US"/>
        </w:rPr>
        <w:t xml:space="preserve">MTC device </w:t>
      </w:r>
      <w:r w:rsidR="00B2782B">
        <w:rPr>
          <w:lang w:val="en-US"/>
        </w:rPr>
        <w:t xml:space="preserve">that </w:t>
      </w:r>
      <w:r w:rsidR="002A006C">
        <w:rPr>
          <w:lang w:val="en-US"/>
        </w:rPr>
        <w:t xml:space="preserve">reports temperature every 20 minutes.  </w:t>
      </w:r>
      <w:r w:rsidR="007C7478">
        <w:rPr>
          <w:lang w:val="en-US"/>
        </w:rPr>
        <w:t xml:space="preserve">We should allow the MTC device service and hence traffic pattern to change, for example </w:t>
      </w:r>
      <w:r w:rsidR="00B2782B">
        <w:rPr>
          <w:lang w:val="en-US"/>
        </w:rPr>
        <w:t xml:space="preserve">an </w:t>
      </w:r>
      <w:r w:rsidR="002A006C">
        <w:rPr>
          <w:lang w:val="en-US"/>
        </w:rPr>
        <w:t>MTC device can change from reporting temperature every 20 minutes to every 5 minutes if say the temperature exceeds a threshold.  Hence</w:t>
      </w:r>
      <w:r w:rsidR="00D05592">
        <w:rPr>
          <w:lang w:val="en-US"/>
        </w:rPr>
        <w:t>,</w:t>
      </w:r>
      <w:r w:rsidR="002A006C">
        <w:rPr>
          <w:lang w:val="en-US"/>
        </w:rPr>
        <w:t xml:space="preserve"> we should design the PUR such that these parameters can </w:t>
      </w:r>
      <w:r w:rsidR="007C7478">
        <w:rPr>
          <w:lang w:val="en-US"/>
        </w:rPr>
        <w:t>change during the PUR operation in idle mode.</w:t>
      </w:r>
    </w:p>
    <w:p w14:paraId="5FA943EE" w14:textId="15B61A6A" w:rsidR="002A006C" w:rsidRPr="002A006C" w:rsidRDefault="007C7478" w:rsidP="002D4F72">
      <w:pPr>
        <w:rPr>
          <w:b/>
          <w:lang w:val="en-US"/>
        </w:rPr>
      </w:pPr>
      <w:r>
        <w:rPr>
          <w:b/>
          <w:lang w:val="en-US"/>
        </w:rPr>
        <w:t>Proposal 3: In idle mode, the time resource (e.g. periodicity), frequency resource and MCS/TBS may be updated after a PUR transmission.</w:t>
      </w:r>
    </w:p>
    <w:p w14:paraId="7B9FE20A" w14:textId="77777777" w:rsidR="002D4F72" w:rsidRDefault="002D4F72" w:rsidP="002D4F72">
      <w:pPr>
        <w:rPr>
          <w:lang w:val="en-US"/>
        </w:rPr>
      </w:pPr>
    </w:p>
    <w:p w14:paraId="062018FF" w14:textId="5EAD76A0" w:rsidR="007C7478" w:rsidRDefault="007C7478" w:rsidP="002D4F72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change in Timing Advance, UE Tx Power and Repetition are dependent upon changes to the UE radio condition, which can be </w:t>
      </w:r>
      <w:r w:rsidR="00445089">
        <w:rPr>
          <w:rFonts w:eastAsia="MS Mincho"/>
          <w:lang w:val="en-US"/>
        </w:rPr>
        <w:t xml:space="preserve">managed by the eNB.  However, parameters such as the periodicity and MCS/TBS are dependent upon the UE’s service and traffic pattern which </w:t>
      </w:r>
      <w:r w:rsidR="00E540CB">
        <w:rPr>
          <w:rFonts w:eastAsia="MS Mincho"/>
          <w:lang w:val="en-US"/>
        </w:rPr>
        <w:t xml:space="preserve">are </w:t>
      </w:r>
      <w:r w:rsidR="00445089">
        <w:rPr>
          <w:rFonts w:eastAsia="MS Mincho"/>
          <w:lang w:val="en-US"/>
        </w:rPr>
        <w:t>managed by the UE.  Hence, it make sense for the UE to request a change of parameters.  Such a request can be made using the PUR itself or via EDT.  The eNB can update the PUR parameters, i.e. re-configuration, either in HARQ-ACK feedback or Msg4.</w:t>
      </w:r>
    </w:p>
    <w:p w14:paraId="4F73CF7D" w14:textId="489F92A9" w:rsidR="00270216" w:rsidRPr="00270216" w:rsidRDefault="00445089" w:rsidP="002D4F72">
      <w:p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Proposal 4</w:t>
      </w:r>
      <w:r w:rsidR="00270216" w:rsidRPr="00270216">
        <w:rPr>
          <w:rFonts w:eastAsia="MS Mincho"/>
          <w:b/>
          <w:lang w:val="en-US"/>
        </w:rPr>
        <w:t xml:space="preserve">: Allow the UE to request for changes to PUR parameters </w:t>
      </w:r>
      <w:r>
        <w:rPr>
          <w:rFonts w:eastAsia="MS Mincho"/>
          <w:b/>
          <w:lang w:val="en-US"/>
        </w:rPr>
        <w:t xml:space="preserve">using PUR transmission or </w:t>
      </w:r>
      <w:r w:rsidR="00270216" w:rsidRPr="00270216">
        <w:rPr>
          <w:rFonts w:eastAsia="MS Mincho"/>
          <w:b/>
          <w:lang w:val="en-US"/>
        </w:rPr>
        <w:t>via EDT over Msg3.</w:t>
      </w:r>
    </w:p>
    <w:p w14:paraId="28EBDE5B" w14:textId="0ACB5649" w:rsidR="00270216" w:rsidRDefault="00445089" w:rsidP="00270216">
      <w:pPr>
        <w:rPr>
          <w:rFonts w:eastAsia="MS Mincho"/>
          <w:lang w:val="en-US"/>
        </w:rPr>
      </w:pPr>
      <w:r>
        <w:rPr>
          <w:rFonts w:eastAsia="MS Mincho"/>
          <w:b/>
          <w:lang w:val="en-US"/>
        </w:rPr>
        <w:t>Proposal 5</w:t>
      </w:r>
      <w:r w:rsidR="00270216" w:rsidRPr="00270216">
        <w:rPr>
          <w:rFonts w:eastAsia="MS Mincho"/>
          <w:b/>
          <w:lang w:val="en-US"/>
        </w:rPr>
        <w:t xml:space="preserve">: </w:t>
      </w:r>
      <w:r>
        <w:rPr>
          <w:rFonts w:eastAsia="MS Mincho"/>
          <w:b/>
          <w:lang w:val="en-US"/>
        </w:rPr>
        <w:t xml:space="preserve">The </w:t>
      </w:r>
      <w:r w:rsidR="00270216" w:rsidRPr="00270216">
        <w:rPr>
          <w:rFonts w:eastAsia="MS Mincho"/>
          <w:b/>
          <w:lang w:val="en-US"/>
        </w:rPr>
        <w:t xml:space="preserve">PUR </w:t>
      </w:r>
      <w:r>
        <w:rPr>
          <w:rFonts w:eastAsia="MS Mincho"/>
          <w:b/>
          <w:lang w:val="en-US"/>
        </w:rPr>
        <w:t xml:space="preserve">parameters </w:t>
      </w:r>
      <w:r w:rsidR="00270216" w:rsidRPr="00270216">
        <w:rPr>
          <w:rFonts w:eastAsia="MS Mincho"/>
          <w:b/>
          <w:lang w:val="en-US"/>
        </w:rPr>
        <w:t>re-configuration is signaled via HARQ-ACK feedback</w:t>
      </w:r>
      <w:r>
        <w:rPr>
          <w:rFonts w:eastAsia="MS Mincho"/>
          <w:b/>
          <w:lang w:val="en-US"/>
        </w:rPr>
        <w:t xml:space="preserve"> or Msg4</w:t>
      </w:r>
      <w:r w:rsidR="00270216" w:rsidRPr="00270216">
        <w:rPr>
          <w:rFonts w:eastAsia="MS Mincho"/>
          <w:b/>
          <w:lang w:val="en-US"/>
        </w:rPr>
        <w:t>.</w:t>
      </w:r>
    </w:p>
    <w:p w14:paraId="0C96830A" w14:textId="77777777" w:rsidR="00116008" w:rsidRDefault="00116008" w:rsidP="002D4F72">
      <w:pPr>
        <w:rPr>
          <w:rFonts w:eastAsia="MS Mincho"/>
          <w:lang w:val="en-US"/>
        </w:rPr>
      </w:pPr>
    </w:p>
    <w:p w14:paraId="052DBC2D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4698BDE6" w14:textId="77777777" w:rsidR="00855F39" w:rsidRDefault="00855F39" w:rsidP="00855F39">
      <w:r>
        <w:t xml:space="preserve">In this contribution we discuss </w:t>
      </w:r>
      <w:r w:rsidR="00116008">
        <w:t>remaining issues on dedicated PUR.  We observe the following</w:t>
      </w:r>
      <w:r>
        <w:t>:</w:t>
      </w:r>
    </w:p>
    <w:p w14:paraId="2450A2F0" w14:textId="77777777" w:rsidR="000025EE" w:rsidRPr="00E6545D" w:rsidRDefault="000025EE" w:rsidP="000025EE">
      <w:pPr>
        <w:rPr>
          <w:b/>
          <w:lang w:val="en-US"/>
        </w:rPr>
      </w:pPr>
      <w:r w:rsidRPr="00E6545D">
        <w:rPr>
          <w:b/>
          <w:lang w:val="en-US"/>
        </w:rPr>
        <w:t xml:space="preserve">Observation 1: For validating TA by comparing the serving cell RSRP changes </w:t>
      </w:r>
      <w:r w:rsidRPr="00E6545D">
        <w:rPr>
          <w:b/>
          <w:i/>
          <w:lang w:val="en-US"/>
        </w:rPr>
        <w:sym w:font="Symbol" w:char="F044"/>
      </w:r>
      <w:r w:rsidRPr="00E6545D">
        <w:rPr>
          <w:b/>
          <w:i/>
          <w:lang w:val="en-US"/>
        </w:rPr>
        <w:t>RSRP</w:t>
      </w:r>
      <w:r w:rsidRPr="00E6545D">
        <w:rPr>
          <w:b/>
          <w:lang w:val="en-US"/>
        </w:rPr>
        <w:t xml:space="preserve"> against a threshold </w:t>
      </w:r>
      <w:r w:rsidRPr="00E6545D">
        <w:rPr>
          <w:b/>
          <w:i/>
          <w:lang w:val="en-US"/>
        </w:rPr>
        <w:t>T</w:t>
      </w:r>
      <w:r w:rsidRPr="00E6545D">
        <w:rPr>
          <w:b/>
          <w:i/>
          <w:vertAlign w:val="subscript"/>
          <w:lang w:val="en-US"/>
        </w:rPr>
        <w:t>RSRP</w:t>
      </w:r>
      <w:r w:rsidRPr="00E6545D">
        <w:rPr>
          <w:b/>
          <w:lang w:val="en-US"/>
        </w:rPr>
        <w:t>, the threshold is dynamic and dependent upon the absolute RSRP and the direction of travel of the UE.</w:t>
      </w:r>
    </w:p>
    <w:p w14:paraId="6BD8E7A0" w14:textId="77777777" w:rsidR="00D05592" w:rsidRDefault="00D05592" w:rsidP="00855F39">
      <w:pPr>
        <w:rPr>
          <w:b/>
        </w:rPr>
      </w:pPr>
    </w:p>
    <w:p w14:paraId="2187BC09" w14:textId="77777777" w:rsidR="00160371" w:rsidRDefault="00160371" w:rsidP="00855F39">
      <w:r>
        <w:t>We therefore propose the following:</w:t>
      </w:r>
    </w:p>
    <w:p w14:paraId="4BC66562" w14:textId="77777777" w:rsidR="000025EE" w:rsidRPr="00D473F5" w:rsidRDefault="000025EE" w:rsidP="000025EE">
      <w:pPr>
        <w:rPr>
          <w:b/>
          <w:lang w:val="en-US"/>
        </w:rPr>
      </w:pPr>
      <w:r w:rsidRPr="00D473F5">
        <w:rPr>
          <w:b/>
          <w:lang w:val="en-US"/>
        </w:rPr>
        <w:t>Proposal 1: The criteri</w:t>
      </w:r>
      <w:r>
        <w:rPr>
          <w:b/>
          <w:lang w:val="en-US"/>
        </w:rPr>
        <w:t>on</w:t>
      </w:r>
      <w:r w:rsidRPr="00D473F5">
        <w:rPr>
          <w:b/>
          <w:lang w:val="en-US"/>
        </w:rPr>
        <w:t xml:space="preserve"> for validating TA using servi</w:t>
      </w:r>
      <w:r>
        <w:rPr>
          <w:b/>
          <w:lang w:val="en-US"/>
        </w:rPr>
        <w:t>ng</w:t>
      </w:r>
      <w:r w:rsidRPr="00D473F5">
        <w:rPr>
          <w:b/>
          <w:lang w:val="en-US"/>
        </w:rPr>
        <w:t xml:space="preserve"> cell RSRP change </w:t>
      </w:r>
      <w:r w:rsidRPr="00D473F5">
        <w:rPr>
          <w:b/>
          <w:i/>
          <w:lang w:val="en-US"/>
        </w:rPr>
        <w:sym w:font="Symbol" w:char="F044"/>
      </w:r>
      <w:r w:rsidRPr="00D473F5">
        <w:rPr>
          <w:b/>
          <w:i/>
          <w:lang w:val="en-US"/>
        </w:rPr>
        <w:t>RSRP</w:t>
      </w:r>
      <w:r w:rsidRPr="00D473F5">
        <w:rPr>
          <w:b/>
          <w:lang w:val="en-US"/>
        </w:rPr>
        <w:t xml:space="preserve"> is:</w:t>
      </w:r>
    </w:p>
    <w:p w14:paraId="152C48E8" w14:textId="77777777" w:rsidR="000025EE" w:rsidRPr="00D473F5" w:rsidRDefault="000025EE" w:rsidP="000025EE">
      <w:pPr>
        <w:jc w:val="center"/>
        <w:rPr>
          <w:b/>
          <w:lang w:val="en-US"/>
        </w:rPr>
      </w:pPr>
      <w:r w:rsidRPr="00D473F5">
        <w:rPr>
          <w:rFonts w:eastAsia="MS Mincho"/>
          <w:b/>
          <w:i/>
          <w:lang w:val="en-US"/>
        </w:rPr>
        <w:t>T</w:t>
      </w:r>
      <w:r w:rsidRPr="00D473F5">
        <w:rPr>
          <w:rFonts w:eastAsia="MS Mincho"/>
          <w:b/>
          <w:i/>
          <w:vertAlign w:val="subscript"/>
          <w:lang w:val="en-US"/>
        </w:rPr>
        <w:t>-ve_RSRP</w:t>
      </w:r>
      <w:r w:rsidRPr="00D473F5">
        <w:rPr>
          <w:rFonts w:eastAsia="MS Mincho"/>
          <w:b/>
          <w:lang w:val="en-US"/>
        </w:rPr>
        <w:t xml:space="preserve"> ≤ </w:t>
      </w:r>
      <w:r w:rsidRPr="00D473F5">
        <w:rPr>
          <w:b/>
          <w:i/>
          <w:lang w:val="en-US"/>
        </w:rPr>
        <w:sym w:font="Symbol" w:char="F044"/>
      </w:r>
      <w:r w:rsidRPr="00D473F5">
        <w:rPr>
          <w:b/>
          <w:i/>
          <w:lang w:val="en-US"/>
        </w:rPr>
        <w:t>RSRP</w:t>
      </w:r>
      <w:r w:rsidRPr="00D473F5">
        <w:rPr>
          <w:b/>
          <w:lang w:val="en-US"/>
        </w:rPr>
        <w:t xml:space="preserve"> </w:t>
      </w:r>
      <w:r w:rsidRPr="00D473F5">
        <w:rPr>
          <w:rFonts w:eastAsia="MS Mincho"/>
          <w:b/>
          <w:lang w:val="en-US"/>
        </w:rPr>
        <w:t xml:space="preserve">≤ </w:t>
      </w:r>
      <w:r w:rsidRPr="00D473F5">
        <w:rPr>
          <w:rFonts w:eastAsia="MS Mincho"/>
          <w:b/>
          <w:i/>
          <w:lang w:val="en-US"/>
        </w:rPr>
        <w:t>T</w:t>
      </w:r>
      <w:r w:rsidRPr="00D473F5">
        <w:rPr>
          <w:rFonts w:eastAsia="MS Mincho"/>
          <w:b/>
          <w:i/>
          <w:vertAlign w:val="subscript"/>
          <w:lang w:val="en-US"/>
        </w:rPr>
        <w:t>+ve_RSRP</w:t>
      </w:r>
    </w:p>
    <w:p w14:paraId="5EF5A53A" w14:textId="77777777" w:rsidR="000025EE" w:rsidRPr="00D473F5" w:rsidRDefault="000025EE" w:rsidP="000025EE">
      <w:pPr>
        <w:pStyle w:val="ListParagraph"/>
        <w:numPr>
          <w:ilvl w:val="0"/>
          <w:numId w:val="34"/>
        </w:numPr>
        <w:rPr>
          <w:b/>
          <w:lang w:val="en-US"/>
        </w:rPr>
      </w:pPr>
      <w:r w:rsidRPr="00D473F5">
        <w:rPr>
          <w:b/>
          <w:lang w:val="en-US"/>
        </w:rPr>
        <w:t>Where:</w:t>
      </w:r>
    </w:p>
    <w:p w14:paraId="10D07DB6" w14:textId="77777777" w:rsidR="000025EE" w:rsidRPr="00D473F5" w:rsidRDefault="000025EE" w:rsidP="000025EE">
      <w:pPr>
        <w:pStyle w:val="ListParagraph"/>
        <w:numPr>
          <w:ilvl w:val="1"/>
          <w:numId w:val="34"/>
        </w:numPr>
        <w:rPr>
          <w:b/>
          <w:lang w:val="en-US"/>
        </w:rPr>
      </w:pPr>
      <w:r w:rsidRPr="00D473F5">
        <w:rPr>
          <w:b/>
          <w:i/>
          <w:lang w:val="en-US"/>
        </w:rPr>
        <w:sym w:font="Symbol" w:char="F044"/>
      </w:r>
      <w:r w:rsidRPr="00D473F5">
        <w:rPr>
          <w:b/>
          <w:i/>
          <w:lang w:val="en-US"/>
        </w:rPr>
        <w:t>RSRP</w:t>
      </w:r>
      <w:r w:rsidRPr="00D473F5">
        <w:rPr>
          <w:b/>
          <w:lang w:val="en-US"/>
        </w:rPr>
        <w:t xml:space="preserve"> = </w:t>
      </w:r>
      <w:r w:rsidRPr="00D473F5">
        <w:rPr>
          <w:b/>
          <w:i/>
          <w:lang w:val="en-US"/>
        </w:rPr>
        <w:t>RSRP</w:t>
      </w:r>
      <w:r w:rsidRPr="00D473F5">
        <w:rPr>
          <w:b/>
          <w:i/>
          <w:vertAlign w:val="subscript"/>
          <w:lang w:val="en-US"/>
        </w:rPr>
        <w:t>TA</w:t>
      </w:r>
      <w:r w:rsidRPr="00D473F5">
        <w:rPr>
          <w:b/>
          <w:lang w:val="en-US"/>
        </w:rPr>
        <w:t xml:space="preserve"> – </w:t>
      </w:r>
      <w:r w:rsidRPr="00D473F5">
        <w:rPr>
          <w:b/>
          <w:i/>
          <w:lang w:val="en-US"/>
        </w:rPr>
        <w:t>RSRP</w:t>
      </w:r>
      <w:r w:rsidRPr="00D473F5">
        <w:rPr>
          <w:b/>
          <w:i/>
          <w:vertAlign w:val="subscript"/>
          <w:lang w:val="en-US"/>
        </w:rPr>
        <w:t>Evaluate</w:t>
      </w:r>
    </w:p>
    <w:p w14:paraId="29736837" w14:textId="77777777" w:rsidR="000025EE" w:rsidRPr="00D473F5" w:rsidRDefault="000025EE" w:rsidP="000025EE">
      <w:pPr>
        <w:pStyle w:val="ListParagraph"/>
        <w:numPr>
          <w:ilvl w:val="2"/>
          <w:numId w:val="34"/>
        </w:numPr>
        <w:rPr>
          <w:b/>
          <w:lang w:val="en-US"/>
        </w:rPr>
      </w:pPr>
      <w:r w:rsidRPr="00D473F5">
        <w:rPr>
          <w:b/>
          <w:i/>
          <w:lang w:val="en-US"/>
        </w:rPr>
        <w:t>RSRP</w:t>
      </w:r>
      <w:r w:rsidRPr="00D473F5">
        <w:rPr>
          <w:b/>
          <w:i/>
          <w:vertAlign w:val="subscript"/>
          <w:lang w:val="en-US"/>
        </w:rPr>
        <w:t>TA</w:t>
      </w:r>
      <w:r w:rsidRPr="00D473F5">
        <w:rPr>
          <w:b/>
          <w:i/>
          <w:lang w:val="en-US"/>
        </w:rPr>
        <w:t xml:space="preserve"> </w:t>
      </w:r>
      <w:r w:rsidRPr="00D473F5">
        <w:rPr>
          <w:b/>
          <w:lang w:val="en-US"/>
        </w:rPr>
        <w:t>is the RSRP measured when the TA is obtained</w:t>
      </w:r>
    </w:p>
    <w:p w14:paraId="4B71C931" w14:textId="77777777" w:rsidR="000025EE" w:rsidRPr="00D473F5" w:rsidRDefault="000025EE" w:rsidP="000025EE">
      <w:pPr>
        <w:pStyle w:val="ListParagraph"/>
        <w:numPr>
          <w:ilvl w:val="2"/>
          <w:numId w:val="34"/>
        </w:numPr>
        <w:rPr>
          <w:b/>
          <w:lang w:val="en-US"/>
        </w:rPr>
      </w:pPr>
      <w:r w:rsidRPr="00D473F5">
        <w:rPr>
          <w:b/>
          <w:i/>
          <w:lang w:val="en-US"/>
        </w:rPr>
        <w:t>RSRP</w:t>
      </w:r>
      <w:r w:rsidRPr="00D473F5">
        <w:rPr>
          <w:b/>
          <w:i/>
          <w:vertAlign w:val="subscript"/>
          <w:lang w:val="en-US"/>
        </w:rPr>
        <w:t>Evaluate</w:t>
      </w:r>
      <w:r w:rsidRPr="00D473F5">
        <w:rPr>
          <w:b/>
          <w:lang w:val="en-US"/>
        </w:rPr>
        <w:t xml:space="preserve"> is the RSRP measured when the TA is evaluated</w:t>
      </w:r>
    </w:p>
    <w:p w14:paraId="67403404" w14:textId="77777777" w:rsidR="000025EE" w:rsidRPr="00D473F5" w:rsidRDefault="000025EE" w:rsidP="000025EE">
      <w:pPr>
        <w:pStyle w:val="ListParagraph"/>
        <w:numPr>
          <w:ilvl w:val="1"/>
          <w:numId w:val="34"/>
        </w:numPr>
        <w:rPr>
          <w:b/>
          <w:lang w:val="en-US"/>
        </w:rPr>
      </w:pPr>
      <w:r w:rsidRPr="00D473F5">
        <w:rPr>
          <w:rFonts w:eastAsia="MS Mincho"/>
          <w:b/>
          <w:i/>
          <w:lang w:val="en-US"/>
        </w:rPr>
        <w:t>T</w:t>
      </w:r>
      <w:r w:rsidRPr="00D473F5">
        <w:rPr>
          <w:rFonts w:eastAsia="MS Mincho"/>
          <w:b/>
          <w:i/>
          <w:vertAlign w:val="subscript"/>
          <w:lang w:val="en-US"/>
        </w:rPr>
        <w:t>-ve_RSRP</w:t>
      </w:r>
      <w:r w:rsidRPr="00D473F5">
        <w:rPr>
          <w:b/>
          <w:lang w:val="en-US"/>
        </w:rPr>
        <w:t xml:space="preserve"> and </w:t>
      </w:r>
      <w:r w:rsidRPr="00D473F5">
        <w:rPr>
          <w:rFonts w:eastAsia="MS Mincho"/>
          <w:b/>
          <w:i/>
          <w:lang w:val="en-US"/>
        </w:rPr>
        <w:t>T</w:t>
      </w:r>
      <w:r w:rsidRPr="00D473F5">
        <w:rPr>
          <w:rFonts w:eastAsia="MS Mincho"/>
          <w:b/>
          <w:i/>
          <w:vertAlign w:val="subscript"/>
          <w:lang w:val="en-US"/>
        </w:rPr>
        <w:t>+ve_RSRP</w:t>
      </w:r>
      <w:r w:rsidRPr="00D473F5">
        <w:rPr>
          <w:rFonts w:eastAsia="MS Mincho"/>
          <w:b/>
          <w:lang w:val="en-US"/>
        </w:rPr>
        <w:t xml:space="preserve"> are determined from a lookup table using </w:t>
      </w:r>
      <w:r w:rsidRPr="00D473F5">
        <w:rPr>
          <w:b/>
          <w:i/>
          <w:lang w:val="en-US"/>
        </w:rPr>
        <w:t>RSRP</w:t>
      </w:r>
      <w:r w:rsidRPr="00D473F5">
        <w:rPr>
          <w:b/>
          <w:i/>
          <w:vertAlign w:val="subscript"/>
          <w:lang w:val="en-US"/>
        </w:rPr>
        <w:t>Evaluate</w:t>
      </w:r>
      <w:r w:rsidRPr="00D473F5">
        <w:rPr>
          <w:b/>
          <w:lang w:val="en-US"/>
        </w:rPr>
        <w:t xml:space="preserve"> as an input</w:t>
      </w:r>
    </w:p>
    <w:p w14:paraId="251867C7" w14:textId="77777777" w:rsidR="000025EE" w:rsidRDefault="000025EE" w:rsidP="000025EE">
      <w:pPr>
        <w:rPr>
          <w:lang w:val="en-US"/>
        </w:rPr>
      </w:pPr>
    </w:p>
    <w:p w14:paraId="603F74AC" w14:textId="77777777" w:rsidR="000025EE" w:rsidRPr="00D473F5" w:rsidRDefault="000025EE" w:rsidP="000025EE">
      <w:pPr>
        <w:rPr>
          <w:b/>
        </w:rPr>
      </w:pPr>
      <w:r w:rsidRPr="00D473F5">
        <w:rPr>
          <w:rFonts w:eastAsia="MS Mincho"/>
          <w:b/>
          <w:lang w:val="en-US"/>
        </w:rPr>
        <w:t xml:space="preserve">Proposal 2: </w:t>
      </w:r>
      <w:r w:rsidRPr="00D473F5">
        <w:rPr>
          <w:b/>
        </w:rPr>
        <w:t>In idle mode, the PUSCH repetition may be updated after a PUR transmission.</w:t>
      </w:r>
    </w:p>
    <w:p w14:paraId="2CDB58DB" w14:textId="77777777" w:rsidR="000025EE" w:rsidRPr="002A006C" w:rsidRDefault="000025EE" w:rsidP="000025EE">
      <w:pPr>
        <w:rPr>
          <w:b/>
          <w:lang w:val="en-US"/>
        </w:rPr>
      </w:pPr>
      <w:r>
        <w:rPr>
          <w:b/>
          <w:lang w:val="en-US"/>
        </w:rPr>
        <w:t>Proposal 3: In idle mode, the time resource (e.g. periodicity), frequency resource and MCS/TBS may be updated after a PUR transmission.</w:t>
      </w:r>
    </w:p>
    <w:p w14:paraId="0676420D" w14:textId="77777777" w:rsidR="000025EE" w:rsidRPr="00270216" w:rsidRDefault="000025EE" w:rsidP="000025EE">
      <w:p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Proposal 4</w:t>
      </w:r>
      <w:r w:rsidRPr="00270216">
        <w:rPr>
          <w:rFonts w:eastAsia="MS Mincho"/>
          <w:b/>
          <w:lang w:val="en-US"/>
        </w:rPr>
        <w:t xml:space="preserve">: Allow the UE to request for changes to PUR parameters </w:t>
      </w:r>
      <w:r>
        <w:rPr>
          <w:rFonts w:eastAsia="MS Mincho"/>
          <w:b/>
          <w:lang w:val="en-US"/>
        </w:rPr>
        <w:t xml:space="preserve">using PUR transmission or </w:t>
      </w:r>
      <w:r w:rsidRPr="00270216">
        <w:rPr>
          <w:rFonts w:eastAsia="MS Mincho"/>
          <w:b/>
          <w:lang w:val="en-US"/>
        </w:rPr>
        <w:t>via EDT over Msg3.</w:t>
      </w:r>
    </w:p>
    <w:p w14:paraId="01D0950A" w14:textId="77777777" w:rsidR="000025EE" w:rsidRDefault="000025EE" w:rsidP="000025EE">
      <w:pPr>
        <w:rPr>
          <w:rFonts w:eastAsia="MS Mincho"/>
          <w:lang w:val="en-US"/>
        </w:rPr>
      </w:pPr>
      <w:r>
        <w:rPr>
          <w:rFonts w:eastAsia="MS Mincho"/>
          <w:b/>
          <w:lang w:val="en-US"/>
        </w:rPr>
        <w:t>Proposal 5</w:t>
      </w:r>
      <w:r w:rsidRPr="00270216">
        <w:rPr>
          <w:rFonts w:eastAsia="MS Mincho"/>
          <w:b/>
          <w:lang w:val="en-US"/>
        </w:rPr>
        <w:t xml:space="preserve">: </w:t>
      </w:r>
      <w:r>
        <w:rPr>
          <w:rFonts w:eastAsia="MS Mincho"/>
          <w:b/>
          <w:lang w:val="en-US"/>
        </w:rPr>
        <w:t xml:space="preserve">The </w:t>
      </w:r>
      <w:r w:rsidRPr="00270216">
        <w:rPr>
          <w:rFonts w:eastAsia="MS Mincho"/>
          <w:b/>
          <w:lang w:val="en-US"/>
        </w:rPr>
        <w:t xml:space="preserve">PUR </w:t>
      </w:r>
      <w:r>
        <w:rPr>
          <w:rFonts w:eastAsia="MS Mincho"/>
          <w:b/>
          <w:lang w:val="en-US"/>
        </w:rPr>
        <w:t xml:space="preserve">parameters </w:t>
      </w:r>
      <w:r w:rsidRPr="00270216">
        <w:rPr>
          <w:rFonts w:eastAsia="MS Mincho"/>
          <w:b/>
          <w:lang w:val="en-US"/>
        </w:rPr>
        <w:t>re-configuration is signaled via HARQ-ACK feedback</w:t>
      </w:r>
      <w:r>
        <w:rPr>
          <w:rFonts w:eastAsia="MS Mincho"/>
          <w:b/>
          <w:lang w:val="en-US"/>
        </w:rPr>
        <w:t xml:space="preserve"> or Msg4</w:t>
      </w:r>
      <w:r w:rsidRPr="00270216">
        <w:rPr>
          <w:rFonts w:eastAsia="MS Mincho"/>
          <w:b/>
          <w:lang w:val="en-US"/>
        </w:rPr>
        <w:t>.</w:t>
      </w:r>
    </w:p>
    <w:p w14:paraId="5A0A98A6" w14:textId="39F24978" w:rsidR="00D05592" w:rsidRPr="00116008" w:rsidRDefault="00D05592" w:rsidP="00445089">
      <w:pPr>
        <w:rPr>
          <w:rFonts w:eastAsia="MS Mincho"/>
          <w:b/>
          <w:lang w:val="en-US"/>
        </w:rPr>
      </w:pPr>
      <w:bookmarkStart w:id="3" w:name="_GoBack"/>
      <w:bookmarkEnd w:id="3"/>
    </w:p>
    <w:p w14:paraId="2C2098D3" w14:textId="77777777" w:rsidR="00A91C99" w:rsidRPr="001D7294" w:rsidRDefault="00A91C99" w:rsidP="00A91C99">
      <w:pPr>
        <w:rPr>
          <w:rFonts w:eastAsia="MS Mincho"/>
          <w:b/>
          <w:lang w:val="en-US"/>
        </w:rPr>
      </w:pPr>
    </w:p>
    <w:p w14:paraId="79939F8E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2F5D00AD" w14:textId="095323EA" w:rsidR="007271F6" w:rsidRDefault="00855F39" w:rsidP="00855F39">
      <w:r>
        <w:t xml:space="preserve">[1] </w:t>
      </w:r>
      <w:r w:rsidR="002B6A9E">
        <w:t xml:space="preserve">R1-1902192, “Considerations in using PUR,” </w:t>
      </w:r>
      <w:r w:rsidR="002B6A9E" w:rsidRPr="002B6A9E">
        <w:t>Sony</w:t>
      </w:r>
      <w:r w:rsidR="002B6A9E">
        <w:t>, RAN1#96</w:t>
      </w:r>
    </w:p>
    <w:p w14:paraId="641209FB" w14:textId="638C4FA1" w:rsidR="002B6A9E" w:rsidRDefault="002B6A9E" w:rsidP="00855F39">
      <w:r>
        <w:t>[2] R1-1901628, “</w:t>
      </w:r>
      <w:r w:rsidRPr="002B6A9E">
        <w:t xml:space="preserve">LTE-M Pre-configured UL </w:t>
      </w:r>
      <w:r>
        <w:t xml:space="preserve">Resources Design Considerations,” </w:t>
      </w:r>
      <w:r w:rsidRPr="002B6A9E">
        <w:t>Sierra Wireless, S.A.</w:t>
      </w:r>
      <w:r>
        <w:t>, RAN1#96</w:t>
      </w:r>
    </w:p>
    <w:p w14:paraId="1DEFAA84" w14:textId="77777777" w:rsidR="007271F6" w:rsidRDefault="007271F6" w:rsidP="00855F39"/>
    <w:sectPr w:rsidR="007271F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1A9D5E" w16cid:durableId="20436F8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4EA4C" w14:textId="77777777" w:rsidR="004B68BE" w:rsidRDefault="004B68BE">
      <w:r>
        <w:separator/>
      </w:r>
    </w:p>
  </w:endnote>
  <w:endnote w:type="continuationSeparator" w:id="0">
    <w:p w14:paraId="3299D790" w14:textId="77777777" w:rsidR="004B68BE" w:rsidRDefault="004B6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608E7" w14:textId="77777777" w:rsidR="004B68BE" w:rsidRDefault="004B68BE">
      <w:r>
        <w:separator/>
      </w:r>
    </w:p>
  </w:footnote>
  <w:footnote w:type="continuationSeparator" w:id="0">
    <w:p w14:paraId="6976FA3B" w14:textId="77777777" w:rsidR="004B68BE" w:rsidRDefault="004B6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8844DA6"/>
    <w:multiLevelType w:val="hybridMultilevel"/>
    <w:tmpl w:val="FB6E5C26"/>
    <w:lvl w:ilvl="0" w:tplc="5F7EE9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31670"/>
    <w:multiLevelType w:val="hybridMultilevel"/>
    <w:tmpl w:val="80DCD924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5021C3"/>
    <w:multiLevelType w:val="hybridMultilevel"/>
    <w:tmpl w:val="887222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EC6BFD"/>
    <w:multiLevelType w:val="hybridMultilevel"/>
    <w:tmpl w:val="429A9A48"/>
    <w:lvl w:ilvl="0" w:tplc="3D6E1B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10C9F"/>
    <w:multiLevelType w:val="hybridMultilevel"/>
    <w:tmpl w:val="6F101B6E"/>
    <w:lvl w:ilvl="0" w:tplc="3E10521C">
      <w:start w:val="2"/>
      <w:numFmt w:val="bullet"/>
      <w:lvlText w:val="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6C0262"/>
    <w:multiLevelType w:val="hybridMultilevel"/>
    <w:tmpl w:val="93A0D8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9194A"/>
    <w:multiLevelType w:val="hybridMultilevel"/>
    <w:tmpl w:val="D3F84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F33F52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30D3C"/>
    <w:multiLevelType w:val="hybridMultilevel"/>
    <w:tmpl w:val="D4D0D93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A3BDC"/>
    <w:multiLevelType w:val="hybridMultilevel"/>
    <w:tmpl w:val="4AF8A0A4"/>
    <w:lvl w:ilvl="0" w:tplc="08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4484D"/>
    <w:multiLevelType w:val="hybridMultilevel"/>
    <w:tmpl w:val="118A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B928B8"/>
    <w:multiLevelType w:val="hybridMultilevel"/>
    <w:tmpl w:val="954606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687C8B"/>
    <w:multiLevelType w:val="hybridMultilevel"/>
    <w:tmpl w:val="4D52C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 w15:restartNumberingAfterBreak="0">
    <w:nsid w:val="58E169A5"/>
    <w:multiLevelType w:val="hybridMultilevel"/>
    <w:tmpl w:val="5D0AE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4F62FC"/>
    <w:multiLevelType w:val="hybridMultilevel"/>
    <w:tmpl w:val="23967B20"/>
    <w:lvl w:ilvl="0" w:tplc="50380070">
      <w:start w:val="2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A3D68"/>
    <w:multiLevelType w:val="hybridMultilevel"/>
    <w:tmpl w:val="FACAD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7E45AF5"/>
    <w:multiLevelType w:val="hybridMultilevel"/>
    <w:tmpl w:val="4978F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A10058"/>
    <w:multiLevelType w:val="hybridMultilevel"/>
    <w:tmpl w:val="BFE68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83BF9"/>
    <w:multiLevelType w:val="hybridMultilevel"/>
    <w:tmpl w:val="EB4EC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17"/>
  </w:num>
  <w:num w:numId="4">
    <w:abstractNumId w:val="6"/>
  </w:num>
  <w:num w:numId="5">
    <w:abstractNumId w:val="21"/>
  </w:num>
  <w:num w:numId="6">
    <w:abstractNumId w:val="7"/>
  </w:num>
  <w:num w:numId="7">
    <w:abstractNumId w:val="1"/>
  </w:num>
  <w:num w:numId="8">
    <w:abstractNumId w:val="0"/>
  </w:num>
  <w:num w:numId="9">
    <w:abstractNumId w:val="15"/>
  </w:num>
  <w:num w:numId="10">
    <w:abstractNumId w:val="11"/>
  </w:num>
  <w:num w:numId="11">
    <w:abstractNumId w:val="4"/>
  </w:num>
  <w:num w:numId="12">
    <w:abstractNumId w:val="31"/>
  </w:num>
  <w:num w:numId="13">
    <w:abstractNumId w:val="19"/>
  </w:num>
  <w:num w:numId="14">
    <w:abstractNumId w:val="10"/>
  </w:num>
  <w:num w:numId="15">
    <w:abstractNumId w:val="30"/>
  </w:num>
  <w:num w:numId="16">
    <w:abstractNumId w:val="25"/>
  </w:num>
  <w:num w:numId="17">
    <w:abstractNumId w:val="32"/>
  </w:num>
  <w:num w:numId="18">
    <w:abstractNumId w:val="27"/>
  </w:num>
  <w:num w:numId="19">
    <w:abstractNumId w:val="16"/>
  </w:num>
  <w:num w:numId="20">
    <w:abstractNumId w:val="2"/>
  </w:num>
  <w:num w:numId="21">
    <w:abstractNumId w:val="12"/>
  </w:num>
  <w:num w:numId="22">
    <w:abstractNumId w:val="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2"/>
  </w:num>
  <w:num w:numId="26">
    <w:abstractNumId w:val="14"/>
  </w:num>
  <w:num w:numId="27">
    <w:abstractNumId w:val="20"/>
  </w:num>
  <w:num w:numId="28">
    <w:abstractNumId w:val="26"/>
  </w:num>
  <w:num w:numId="29">
    <w:abstractNumId w:val="8"/>
  </w:num>
  <w:num w:numId="30">
    <w:abstractNumId w:val="5"/>
  </w:num>
  <w:num w:numId="31">
    <w:abstractNumId w:val="24"/>
  </w:num>
  <w:num w:numId="32">
    <w:abstractNumId w:val="29"/>
  </w:num>
  <w:num w:numId="33">
    <w:abstractNumId w:val="13"/>
  </w:num>
  <w:num w:numId="34">
    <w:abstractNumId w:val="18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D7"/>
    <w:rsid w:val="000025EE"/>
    <w:rsid w:val="00031AA4"/>
    <w:rsid w:val="000D7B2E"/>
    <w:rsid w:val="000F2691"/>
    <w:rsid w:val="00106793"/>
    <w:rsid w:val="00116008"/>
    <w:rsid w:val="00160371"/>
    <w:rsid w:val="001929D2"/>
    <w:rsid w:val="001C7167"/>
    <w:rsid w:val="001D7294"/>
    <w:rsid w:val="001F6D3C"/>
    <w:rsid w:val="002136ED"/>
    <w:rsid w:val="0021709D"/>
    <w:rsid w:val="0022222B"/>
    <w:rsid w:val="0023091B"/>
    <w:rsid w:val="00233CA5"/>
    <w:rsid w:val="00270216"/>
    <w:rsid w:val="002761EC"/>
    <w:rsid w:val="002A006C"/>
    <w:rsid w:val="002B1D8E"/>
    <w:rsid w:val="002B6A9E"/>
    <w:rsid w:val="002C75C7"/>
    <w:rsid w:val="002D14A6"/>
    <w:rsid w:val="002D4F72"/>
    <w:rsid w:val="002E0D51"/>
    <w:rsid w:val="002F7659"/>
    <w:rsid w:val="00310ED0"/>
    <w:rsid w:val="00347AF8"/>
    <w:rsid w:val="003539C7"/>
    <w:rsid w:val="00382840"/>
    <w:rsid w:val="003A004E"/>
    <w:rsid w:val="003A1646"/>
    <w:rsid w:val="003D3533"/>
    <w:rsid w:val="003D4C90"/>
    <w:rsid w:val="0041482F"/>
    <w:rsid w:val="00427D9F"/>
    <w:rsid w:val="00445089"/>
    <w:rsid w:val="0048511E"/>
    <w:rsid w:val="00492A87"/>
    <w:rsid w:val="004A650D"/>
    <w:rsid w:val="004B68BE"/>
    <w:rsid w:val="004D1FC7"/>
    <w:rsid w:val="004D5BF4"/>
    <w:rsid w:val="00503DA1"/>
    <w:rsid w:val="005317FD"/>
    <w:rsid w:val="00544758"/>
    <w:rsid w:val="0055725A"/>
    <w:rsid w:val="00577F8A"/>
    <w:rsid w:val="005C19D9"/>
    <w:rsid w:val="005C70A9"/>
    <w:rsid w:val="005C7515"/>
    <w:rsid w:val="005D729E"/>
    <w:rsid w:val="005F5642"/>
    <w:rsid w:val="00613B20"/>
    <w:rsid w:val="006569B2"/>
    <w:rsid w:val="00673015"/>
    <w:rsid w:val="006B39D4"/>
    <w:rsid w:val="006D0EAA"/>
    <w:rsid w:val="007271F6"/>
    <w:rsid w:val="0073373C"/>
    <w:rsid w:val="00773AC2"/>
    <w:rsid w:val="00782D42"/>
    <w:rsid w:val="00783E56"/>
    <w:rsid w:val="007A086D"/>
    <w:rsid w:val="007C7478"/>
    <w:rsid w:val="007D3E92"/>
    <w:rsid w:val="00802E59"/>
    <w:rsid w:val="008413E1"/>
    <w:rsid w:val="00842D44"/>
    <w:rsid w:val="00847A26"/>
    <w:rsid w:val="00855F39"/>
    <w:rsid w:val="00863E4E"/>
    <w:rsid w:val="008B589E"/>
    <w:rsid w:val="008D7C42"/>
    <w:rsid w:val="008F1F96"/>
    <w:rsid w:val="008F434A"/>
    <w:rsid w:val="00907F37"/>
    <w:rsid w:val="00924FF2"/>
    <w:rsid w:val="0095028A"/>
    <w:rsid w:val="00953616"/>
    <w:rsid w:val="0099351A"/>
    <w:rsid w:val="009D4321"/>
    <w:rsid w:val="009D6199"/>
    <w:rsid w:val="009E0604"/>
    <w:rsid w:val="009F2819"/>
    <w:rsid w:val="00A2568F"/>
    <w:rsid w:val="00A4775E"/>
    <w:rsid w:val="00A57B22"/>
    <w:rsid w:val="00A824A2"/>
    <w:rsid w:val="00A91C99"/>
    <w:rsid w:val="00AB4ED7"/>
    <w:rsid w:val="00AE52A9"/>
    <w:rsid w:val="00AF500B"/>
    <w:rsid w:val="00B132F8"/>
    <w:rsid w:val="00B2782B"/>
    <w:rsid w:val="00B4693B"/>
    <w:rsid w:val="00BA58BF"/>
    <w:rsid w:val="00BB47FD"/>
    <w:rsid w:val="00C05967"/>
    <w:rsid w:val="00C11C96"/>
    <w:rsid w:val="00C17CE0"/>
    <w:rsid w:val="00C246F3"/>
    <w:rsid w:val="00C64143"/>
    <w:rsid w:val="00C8704A"/>
    <w:rsid w:val="00CB13D7"/>
    <w:rsid w:val="00CB2067"/>
    <w:rsid w:val="00D05592"/>
    <w:rsid w:val="00D25F71"/>
    <w:rsid w:val="00D3258A"/>
    <w:rsid w:val="00D473F5"/>
    <w:rsid w:val="00D550D7"/>
    <w:rsid w:val="00D708B8"/>
    <w:rsid w:val="00D969D2"/>
    <w:rsid w:val="00DA4475"/>
    <w:rsid w:val="00DB3077"/>
    <w:rsid w:val="00DB7F21"/>
    <w:rsid w:val="00DD077C"/>
    <w:rsid w:val="00DE5DA3"/>
    <w:rsid w:val="00E540CB"/>
    <w:rsid w:val="00E6545D"/>
    <w:rsid w:val="00E7721C"/>
    <w:rsid w:val="00E80AA8"/>
    <w:rsid w:val="00EA40E1"/>
    <w:rsid w:val="00EF2E1D"/>
    <w:rsid w:val="00EF6860"/>
    <w:rsid w:val="00F07A44"/>
    <w:rsid w:val="00F17221"/>
    <w:rsid w:val="00F1792E"/>
    <w:rsid w:val="00F27E41"/>
    <w:rsid w:val="00F41322"/>
    <w:rsid w:val="00F42338"/>
    <w:rsid w:val="00F912B3"/>
    <w:rsid w:val="00FA49E4"/>
    <w:rsid w:val="00FB778E"/>
    <w:rsid w:val="00FC3D97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2897B"/>
  <w15:chartTrackingRefBased/>
  <w15:docId w15:val="{1AE17092-79C4-4ABE-A4C1-66A755B7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F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- Bullets,목록 단락,リスト段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- Bullets Char1,Lista1 Char1,?? ?? Char1,????? Char1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qFormat/>
    <w:rsid w:val="005C19D9"/>
    <w:pPr>
      <w:numPr>
        <w:numId w:val="2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uiPriority w:val="39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3E009-E185-437F-BC5B-83B4E5A0F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5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CTPClassification=CTP_PUBLIC:VisualMarkings=</cp:keywords>
  <dc:description/>
  <cp:lastModifiedBy>Wong, Shin Horng</cp:lastModifiedBy>
  <cp:revision>53</cp:revision>
  <cp:lastPrinted>2002-04-23T09:10:00Z</cp:lastPrinted>
  <dcterms:created xsi:type="dcterms:W3CDTF">2019-01-10T17:39:00Z</dcterms:created>
  <dcterms:modified xsi:type="dcterms:W3CDTF">2019-03-29T20:26:00Z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